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346" w:rsidRPr="006454E2" w:rsidRDefault="00BA291D" w:rsidP="00BA291D">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F665ED">
        <w:rPr>
          <w:rFonts w:ascii="Arial" w:hAnsi="Arial" w:cs="Arial"/>
          <w:sz w:val="28"/>
        </w:rPr>
        <w:t xml:space="preserve">NR </w:t>
      </w:r>
      <w:r w:rsidR="00F665ED">
        <w:rPr>
          <w:rFonts w:ascii="Arial" w:eastAsiaTheme="minorEastAsia" w:hAnsi="Arial" w:cs="Arial"/>
          <w:sz w:val="28"/>
          <w:lang w:eastAsia="zh-CN"/>
        </w:rPr>
        <w:t>AH</w:t>
      </w:r>
      <w:r w:rsidR="000C2D8C">
        <w:rPr>
          <w:rFonts w:ascii="Arial" w:eastAsiaTheme="minorEastAsia" w:hAnsi="Arial" w:cs="Arial"/>
          <w:sz w:val="28"/>
          <w:lang w:eastAsia="zh-CN"/>
        </w:rPr>
        <w:t>#</w:t>
      </w:r>
      <w:r w:rsidR="006F1AD2">
        <w:rPr>
          <w:rFonts w:ascii="Arial" w:eastAsiaTheme="minorEastAsia" w:hAnsi="Arial" w:cs="Arial"/>
          <w:sz w:val="28"/>
          <w:lang w:eastAsia="zh-CN"/>
        </w:rPr>
        <w:t>2</w:t>
      </w:r>
      <w:r w:rsidRPr="005E31A1">
        <w:rPr>
          <w:rFonts w:ascii="Arial" w:hAnsi="Arial" w:cs="Arial"/>
          <w:sz w:val="28"/>
        </w:rPr>
        <w:tab/>
        <w:t>R4-</w:t>
      </w:r>
      <w:r w:rsidRPr="00E3162C">
        <w:t xml:space="preserve"> </w:t>
      </w:r>
      <w:r w:rsidR="00F665ED" w:rsidRPr="00E3162C">
        <w:rPr>
          <w:rFonts w:ascii="Arial" w:hAnsi="Arial" w:cs="Arial"/>
          <w:sz w:val="28"/>
        </w:rPr>
        <w:t>1</w:t>
      </w:r>
      <w:r w:rsidR="00F665ED">
        <w:rPr>
          <w:rFonts w:ascii="Arial" w:eastAsiaTheme="minorEastAsia" w:hAnsi="Arial" w:cs="Arial" w:hint="eastAsia"/>
          <w:sz w:val="28"/>
          <w:lang w:eastAsia="zh-CN"/>
        </w:rPr>
        <w:t>7</w:t>
      </w:r>
      <w:r w:rsidR="00F665ED">
        <w:rPr>
          <w:rFonts w:ascii="Arial" w:eastAsiaTheme="minorEastAsia" w:hAnsi="Arial" w:cs="Arial"/>
          <w:sz w:val="28"/>
          <w:lang w:eastAsia="zh-CN"/>
        </w:rPr>
        <w:t>0</w:t>
      </w:r>
      <w:r w:rsidR="00494DD7">
        <w:rPr>
          <w:rFonts w:ascii="Arial" w:eastAsiaTheme="minorEastAsia" w:hAnsi="Arial" w:cs="Arial"/>
          <w:sz w:val="28"/>
          <w:lang w:eastAsia="zh-CN"/>
        </w:rPr>
        <w:t>6652</w:t>
      </w:r>
    </w:p>
    <w:p w:rsidR="005E31A1" w:rsidRDefault="00F665ED" w:rsidP="00BA291D">
      <w:pPr>
        <w:tabs>
          <w:tab w:val="left" w:pos="1985"/>
        </w:tabs>
        <w:spacing w:before="0" w:after="0"/>
        <w:rPr>
          <w:rFonts w:ascii="Arial" w:eastAsiaTheme="minorEastAsia" w:hAnsi="Arial" w:cs="Arial"/>
          <w:sz w:val="28"/>
          <w:szCs w:val="28"/>
          <w:lang w:eastAsia="zh-CN"/>
        </w:rPr>
      </w:pPr>
      <w:r>
        <w:rPr>
          <w:rFonts w:ascii="Arial" w:eastAsiaTheme="minorEastAsia" w:hAnsi="Arial" w:cs="Arial"/>
          <w:sz w:val="28"/>
          <w:szCs w:val="28"/>
          <w:lang w:eastAsia="zh-CN"/>
        </w:rPr>
        <w:t>Qingdao</w:t>
      </w:r>
      <w:r w:rsidR="00BA291D" w:rsidRPr="005E31A1">
        <w:rPr>
          <w:rFonts w:ascii="Arial" w:hAnsi="Arial" w:cs="Arial"/>
          <w:sz w:val="28"/>
          <w:szCs w:val="28"/>
        </w:rPr>
        <w:t xml:space="preserve">, </w:t>
      </w:r>
      <w:r w:rsidR="009A06A7">
        <w:rPr>
          <w:rFonts w:ascii="Arial" w:hAnsi="Arial" w:cs="Arial"/>
          <w:sz w:val="28"/>
          <w:szCs w:val="28"/>
        </w:rPr>
        <w:t>China</w:t>
      </w:r>
      <w:r w:rsidR="00BA291D">
        <w:rPr>
          <w:rFonts w:ascii="Arial" w:eastAsiaTheme="minorEastAsia" w:hAnsi="Arial" w:cs="Arial" w:hint="eastAsia"/>
          <w:sz w:val="28"/>
          <w:szCs w:val="28"/>
          <w:lang w:eastAsia="zh-CN"/>
        </w:rPr>
        <w:t>,</w:t>
      </w:r>
      <w:r w:rsidR="00BA291D" w:rsidRPr="005E31A1">
        <w:rPr>
          <w:rFonts w:ascii="Arial" w:hAnsi="Arial" w:cs="Arial"/>
          <w:sz w:val="28"/>
          <w:szCs w:val="28"/>
        </w:rPr>
        <w:t xml:space="preserve"> </w:t>
      </w:r>
      <w:r>
        <w:rPr>
          <w:rFonts w:ascii="Arial" w:eastAsiaTheme="minorEastAsia" w:hAnsi="Arial" w:cs="Arial"/>
          <w:sz w:val="28"/>
          <w:szCs w:val="28"/>
          <w:lang w:eastAsia="zh-CN"/>
        </w:rPr>
        <w:t>27</w:t>
      </w:r>
      <w:r w:rsidR="00C943B0">
        <w:rPr>
          <w:rFonts w:ascii="Arial" w:hAnsi="Arial" w:cs="Arial"/>
          <w:sz w:val="28"/>
          <w:szCs w:val="28"/>
        </w:rPr>
        <w:t xml:space="preserve"> </w:t>
      </w:r>
      <w:r w:rsidR="00BA291D" w:rsidRPr="005E31A1">
        <w:rPr>
          <w:rFonts w:ascii="Arial" w:hAnsi="Arial" w:cs="Arial"/>
          <w:sz w:val="28"/>
          <w:szCs w:val="28"/>
        </w:rPr>
        <w:t xml:space="preserve">– </w:t>
      </w:r>
      <w:r>
        <w:rPr>
          <w:rFonts w:ascii="Arial" w:hAnsi="Arial" w:cs="Arial"/>
          <w:sz w:val="28"/>
          <w:szCs w:val="28"/>
        </w:rPr>
        <w:t>2</w:t>
      </w:r>
      <w:r w:rsidR="009A06A7">
        <w:rPr>
          <w:rFonts w:ascii="Arial" w:hAnsi="Arial" w:cs="Arial"/>
          <w:sz w:val="28"/>
          <w:szCs w:val="28"/>
        </w:rPr>
        <w:t>9</w:t>
      </w:r>
      <w:r w:rsidR="00BA291D" w:rsidRPr="005E31A1">
        <w:rPr>
          <w:rFonts w:ascii="Arial" w:hAnsi="Arial" w:cs="Arial"/>
          <w:sz w:val="28"/>
          <w:szCs w:val="28"/>
        </w:rPr>
        <w:t xml:space="preserve"> </w:t>
      </w:r>
      <w:r>
        <w:rPr>
          <w:rFonts w:ascii="Arial" w:hAnsi="Arial" w:cs="Arial"/>
          <w:sz w:val="28"/>
          <w:szCs w:val="28"/>
        </w:rPr>
        <w:t>June</w:t>
      </w:r>
      <w:r w:rsidR="00BA291D" w:rsidRPr="005E31A1">
        <w:rPr>
          <w:rFonts w:ascii="Arial" w:hAnsi="Arial" w:cs="Arial"/>
          <w:sz w:val="28"/>
          <w:szCs w:val="28"/>
        </w:rPr>
        <w:t xml:space="preserve"> 201</w:t>
      </w:r>
      <w:r w:rsidR="00BA291D">
        <w:rPr>
          <w:rFonts w:ascii="Arial" w:eastAsiaTheme="minorEastAsia" w:hAnsi="Arial" w:cs="Arial" w:hint="eastAsia"/>
          <w:sz w:val="28"/>
          <w:szCs w:val="28"/>
          <w:lang w:eastAsia="zh-CN"/>
        </w:rPr>
        <w:t>7</w:t>
      </w:r>
    </w:p>
    <w:p w:rsidR="00BA291D" w:rsidRPr="005E31A1" w:rsidRDefault="00BA291D" w:rsidP="00BA291D">
      <w:pPr>
        <w:tabs>
          <w:tab w:val="left" w:pos="1985"/>
        </w:tabs>
        <w:spacing w:before="0" w:after="0"/>
        <w:rPr>
          <w:rFonts w:ascii="Arial" w:hAnsi="Arial"/>
          <w:b/>
        </w:rPr>
      </w:pPr>
    </w:p>
    <w:p w:rsidR="005E31A1" w:rsidRPr="00F51388" w:rsidRDefault="005E31A1" w:rsidP="00F27795">
      <w:pPr>
        <w:tabs>
          <w:tab w:val="left" w:pos="1985"/>
        </w:tabs>
        <w:spacing w:before="0" w:after="0"/>
        <w:rPr>
          <w:rFonts w:ascii="Arial" w:eastAsiaTheme="minorEastAsia" w:hAnsi="Arial"/>
          <w:b/>
          <w:lang w:eastAsia="zh-CN"/>
        </w:rPr>
      </w:pPr>
      <w:r w:rsidRPr="005E31A1">
        <w:rPr>
          <w:rFonts w:ascii="Arial" w:hAnsi="Arial"/>
          <w:b/>
        </w:rPr>
        <w:t>Agenda Item:</w:t>
      </w:r>
      <w:r w:rsidRPr="005E31A1">
        <w:rPr>
          <w:rFonts w:ascii="Arial" w:hAnsi="Arial"/>
        </w:rPr>
        <w:tab/>
      </w:r>
      <w:bookmarkStart w:id="0" w:name="Source"/>
      <w:bookmarkEnd w:id="0"/>
      <w:r w:rsidR="00494DD7">
        <w:rPr>
          <w:rFonts w:ascii="Arial" w:eastAsiaTheme="minorEastAsia" w:hAnsi="Arial"/>
          <w:b/>
          <w:lang w:eastAsia="zh-CN"/>
        </w:rPr>
        <w:t>3</w:t>
      </w:r>
      <w:r w:rsidR="00F51388" w:rsidRPr="00F51388">
        <w:rPr>
          <w:rFonts w:ascii="Arial" w:eastAsiaTheme="minorEastAsia" w:hAnsi="Arial"/>
          <w:b/>
          <w:lang w:eastAsia="zh-CN"/>
        </w:rPr>
        <w:t>.</w:t>
      </w:r>
      <w:r w:rsidR="00494DD7">
        <w:rPr>
          <w:rFonts w:ascii="Arial" w:eastAsiaTheme="minorEastAsia" w:hAnsi="Arial"/>
          <w:b/>
          <w:lang w:eastAsia="zh-CN"/>
        </w:rPr>
        <w:t>5</w:t>
      </w:r>
      <w:r w:rsidR="00F665ED">
        <w:rPr>
          <w:rFonts w:ascii="Arial" w:eastAsiaTheme="minorEastAsia" w:hAnsi="Arial"/>
          <w:b/>
          <w:lang w:eastAsia="zh-CN"/>
        </w:rPr>
        <w:t>.</w:t>
      </w:r>
      <w:r w:rsidR="00494DD7">
        <w:rPr>
          <w:rFonts w:ascii="Arial" w:eastAsiaTheme="minorEastAsia" w:hAnsi="Arial"/>
          <w:b/>
          <w:lang w:eastAsia="zh-CN"/>
        </w:rPr>
        <w:t>2</w:t>
      </w:r>
      <w:bookmarkStart w:id="1" w:name="_GoBack"/>
      <w:bookmarkEnd w:id="1"/>
    </w:p>
    <w:p w:rsidR="005E31A1" w:rsidRPr="005E31A1" w:rsidRDefault="005E31A1" w:rsidP="00F2779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F2779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 xml:space="preserve"> </w:t>
      </w:r>
      <w:r w:rsidRPr="005E31A1">
        <w:rPr>
          <w:rFonts w:ascii="Arial" w:hAnsi="Arial"/>
        </w:rPr>
        <w:tab/>
      </w:r>
      <w:bookmarkStart w:id="2" w:name="Title"/>
      <w:bookmarkEnd w:id="2"/>
      <w:r w:rsidR="00F665ED" w:rsidRPr="007E4E62">
        <w:rPr>
          <w:rFonts w:ascii="Arial" w:hAnsi="Arial"/>
          <w:b/>
        </w:rPr>
        <w:t xml:space="preserve">Discussion on </w:t>
      </w:r>
      <w:r w:rsidR="00F665ED">
        <w:rPr>
          <w:rFonts w:ascii="Arial" w:hAnsi="Arial"/>
          <w:b/>
        </w:rPr>
        <w:t>intra-frequency, inter-frequency, and inter-RAT measurement</w:t>
      </w:r>
      <w:r w:rsidR="00C943B0">
        <w:rPr>
          <w:rFonts w:ascii="Arial" w:eastAsiaTheme="minorEastAsia" w:hAnsi="Arial" w:cs="Arial"/>
          <w:b/>
          <w:lang w:eastAsia="zh-CN"/>
        </w:rPr>
        <w:t xml:space="preserve"> </w:t>
      </w:r>
    </w:p>
    <w:p w:rsidR="005E31A1" w:rsidRPr="005E31A1" w:rsidRDefault="005E31A1" w:rsidP="00F2779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3" w:name="DocumentFor"/>
      <w:bookmarkEnd w:id="3"/>
      <w:r w:rsidRPr="005E31A1">
        <w:rPr>
          <w:rFonts w:ascii="Arial" w:eastAsiaTheme="minorEastAsia" w:hAnsi="Arial" w:hint="eastAsia"/>
          <w:b/>
          <w:lang w:eastAsia="zh-CN"/>
        </w:rPr>
        <w:t>Discussion</w:t>
      </w:r>
    </w:p>
    <w:p w:rsidR="00452885" w:rsidRPr="00E00A26" w:rsidRDefault="00452885" w:rsidP="006E6E9D">
      <w:pPr>
        <w:pBdr>
          <w:bottom w:val="single" w:sz="4" w:space="1" w:color="auto"/>
        </w:pBdr>
        <w:spacing w:beforeLines="50" w:before="120" w:afterLines="100" w:after="240"/>
        <w:rPr>
          <w:rFonts w:ascii="Arial" w:hAnsi="Arial" w:cs="Arial"/>
        </w:rPr>
      </w:pPr>
    </w:p>
    <w:p w:rsidR="00452885" w:rsidRDefault="00266F10" w:rsidP="007E4E62">
      <w:pPr>
        <w:pStyle w:val="Heading1"/>
        <w:spacing w:after="240"/>
        <w:ind w:left="567" w:hanging="567"/>
        <w:rPr>
          <w:rFonts w:ascii="Times New Roman Bold" w:eastAsia="宋体" w:hAnsi="Times New Roman Bold"/>
        </w:rPr>
      </w:pPr>
      <w:r w:rsidRPr="007E4E62">
        <w:rPr>
          <w:rFonts w:ascii="Times New Roman Bold" w:eastAsia="宋体" w:hAnsi="Times New Roman Bold"/>
          <w:b w:val="0"/>
          <w:bCs w:val="0"/>
        </w:rPr>
        <w:t>1.</w:t>
      </w:r>
      <w:r>
        <w:rPr>
          <w:rFonts w:ascii="Times New Roman Bold" w:eastAsia="宋体" w:hAnsi="Times New Roman Bold"/>
        </w:rPr>
        <w:t xml:space="preserve"> </w:t>
      </w:r>
      <w:r w:rsidR="001271D6" w:rsidRPr="00D25E75">
        <w:rPr>
          <w:rFonts w:ascii="Times New Roman Bold" w:eastAsia="宋体" w:hAnsi="Times New Roman Bold"/>
        </w:rPr>
        <w:t>Introduction</w:t>
      </w:r>
    </w:p>
    <w:p w:rsidR="00105958" w:rsidRDefault="00266F10" w:rsidP="007E4E62">
      <w:pPr>
        <w:pStyle w:val="BodyText"/>
      </w:pPr>
      <w:r>
        <w:t xml:space="preserve">In RAN4#83, </w:t>
      </w:r>
      <w:r w:rsidR="00486C81">
        <w:t xml:space="preserve">intra-frequency, </w:t>
      </w:r>
      <w:proofErr w:type="gramStart"/>
      <w:r w:rsidR="00486C81">
        <w:t>inter-frequency,</w:t>
      </w:r>
      <w:proofErr w:type="gramEnd"/>
      <w:r w:rsidR="00486C81">
        <w:t xml:space="preserve"> and inter-RAT measurements were discussed, and companies </w:t>
      </w:r>
      <w:r w:rsidR="003144EF">
        <w:t>showed</w:t>
      </w:r>
      <w:r w:rsidR="00486C81">
        <w:t xml:space="preserve"> different views on the </w:t>
      </w:r>
      <w:r w:rsidR="004D20F6">
        <w:t>definition</w:t>
      </w:r>
      <w:r w:rsidR="00486C81">
        <w:t>s</w:t>
      </w:r>
      <w:r w:rsidR="00027E0D">
        <w:t xml:space="preserve"> [1]</w:t>
      </w:r>
      <w:r w:rsidR="00486C81">
        <w:t xml:space="preserve">. It is important to </w:t>
      </w:r>
      <w:r w:rsidR="004D20F6">
        <w:t>clarify those</w:t>
      </w:r>
      <w:r w:rsidR="00486C81">
        <w:t xml:space="preserve"> </w:t>
      </w:r>
      <w:r w:rsidR="004D20F6">
        <w:t>concept</w:t>
      </w:r>
      <w:r w:rsidR="00486C81">
        <w:t xml:space="preserve">s, since they are the basis for discussing UE measurement capabilities. </w:t>
      </w:r>
      <w:r w:rsidR="003144EF">
        <w:t>However, t</w:t>
      </w:r>
      <w:r w:rsidR="00486C81">
        <w:t xml:space="preserve">he difficulty of the definitions </w:t>
      </w:r>
      <w:r w:rsidR="003144EF">
        <w:t>is</w:t>
      </w:r>
      <w:r w:rsidR="00AA6973">
        <w:t xml:space="preserve"> </w:t>
      </w:r>
      <w:r w:rsidR="00486C81">
        <w:t xml:space="preserve">that, unlike in LTE, where </w:t>
      </w:r>
      <w:r w:rsidR="00F20C2B">
        <w:t xml:space="preserve">the need of </w:t>
      </w:r>
      <w:r w:rsidR="00486C81">
        <w:t>measurement gap</w:t>
      </w:r>
      <w:r w:rsidR="00AA6973">
        <w:t xml:space="preserve"> </w:t>
      </w:r>
      <w:r w:rsidR="00F20C2B">
        <w:t>has a simple correspondence</w:t>
      </w:r>
      <w:r w:rsidR="00E55FD9">
        <w:t xml:space="preserve"> with the concepts</w:t>
      </w:r>
      <w:r w:rsidR="00AA6973">
        <w:t xml:space="preserve">, i.e., </w:t>
      </w:r>
      <w:r w:rsidR="0058487F">
        <w:t xml:space="preserve">generally, </w:t>
      </w:r>
      <w:r w:rsidR="00AA6973">
        <w:t>intra-frequency measurement does not need measurement gap</w:t>
      </w:r>
      <w:r w:rsidR="0058487F">
        <w:t>s</w:t>
      </w:r>
      <w:r w:rsidR="00AA6973">
        <w:t xml:space="preserve">, while inter-frequency and inter-RAT measurements </w:t>
      </w:r>
      <w:r w:rsidR="00F20C2B">
        <w:t>do.</w:t>
      </w:r>
      <w:r w:rsidR="00AA6973">
        <w:t xml:space="preserve"> </w:t>
      </w:r>
      <w:r w:rsidR="00F20C2B">
        <w:t>I</w:t>
      </w:r>
      <w:r w:rsidR="00AA6973">
        <w:t xml:space="preserve">n NR, measurement gap </w:t>
      </w:r>
      <w:r w:rsidR="00105958">
        <w:t xml:space="preserve">can </w:t>
      </w:r>
      <w:r w:rsidR="00AA6973">
        <w:t>no longer be seen as one factor</w:t>
      </w:r>
      <w:r w:rsidR="00105958">
        <w:t xml:space="preserve"> in defining the concepts, for some cases</w:t>
      </w:r>
      <w:r w:rsidR="004D20F6">
        <w:t xml:space="preserve">, </w:t>
      </w:r>
      <w:r w:rsidR="00105958">
        <w:t xml:space="preserve">intra-frequency measurement </w:t>
      </w:r>
      <w:r w:rsidR="004D20F6">
        <w:t>may require measurement gaps</w:t>
      </w:r>
      <w:r w:rsidR="00105958">
        <w:t xml:space="preserve">. </w:t>
      </w:r>
    </w:p>
    <w:p w:rsidR="00266F10" w:rsidRPr="007E4E62" w:rsidRDefault="00105958" w:rsidP="007E4E62">
      <w:pPr>
        <w:pStyle w:val="BodyText"/>
      </w:pPr>
      <w:r>
        <w:t>In this contribution, we provide our views on the definitions of those concepts, and the main idea is to decouple the definitions with that of whether measurement gap</w:t>
      </w:r>
      <w:r w:rsidR="008638D3">
        <w:t>s</w:t>
      </w:r>
      <w:r>
        <w:t xml:space="preserve"> </w:t>
      </w:r>
      <w:r w:rsidR="008638D3">
        <w:t>are</w:t>
      </w:r>
      <w:r>
        <w:t xml:space="preserve"> needed or not. </w:t>
      </w:r>
      <w:r w:rsidR="0068151E">
        <w:t>Based on the definitions</w:t>
      </w:r>
      <w:r>
        <w:t xml:space="preserve">, we </w:t>
      </w:r>
      <w:r w:rsidR="00BE0EB0">
        <w:t xml:space="preserve">then </w:t>
      </w:r>
      <w:r>
        <w:t xml:space="preserve">provide an analysis on </w:t>
      </w:r>
      <w:r w:rsidR="00261DB0">
        <w:t xml:space="preserve">the need of </w:t>
      </w:r>
      <w:r>
        <w:t xml:space="preserve">measurement gaps </w:t>
      </w:r>
      <w:r w:rsidR="00261DB0">
        <w:t>for certain cases</w:t>
      </w:r>
      <w:r w:rsidR="00F56CC3">
        <w:t xml:space="preserve">. </w:t>
      </w:r>
      <w:r>
        <w:t xml:space="preserve">  </w:t>
      </w:r>
      <w:r w:rsidR="00AA6973">
        <w:t xml:space="preserve"> </w:t>
      </w:r>
      <w:r w:rsidR="00486C81">
        <w:t xml:space="preserve">      </w:t>
      </w:r>
    </w:p>
    <w:p w:rsidR="00934BE7" w:rsidRPr="00D25E75" w:rsidRDefault="00934BE7">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2</w:t>
      </w:r>
      <w:r w:rsidR="00083F67" w:rsidRPr="00D25E75">
        <w:rPr>
          <w:rFonts w:ascii="Times New Roman Bold" w:eastAsia="宋体" w:hAnsi="Times New Roman Bold"/>
        </w:rPr>
        <w:t xml:space="preserve">. </w:t>
      </w:r>
      <w:r w:rsidRPr="00D25E75">
        <w:rPr>
          <w:rFonts w:ascii="Times New Roman Bold" w:eastAsia="宋体" w:hAnsi="Times New Roman Bold"/>
        </w:rPr>
        <w:t>Discussion</w:t>
      </w:r>
    </w:p>
    <w:p w:rsidR="00B629B5" w:rsidRDefault="00B629B5" w:rsidP="00D25E75">
      <w:pPr>
        <w:pStyle w:val="Heading2"/>
        <w:tabs>
          <w:tab w:val="num" w:pos="567"/>
        </w:tabs>
        <w:ind w:left="567" w:hanging="567"/>
        <w:rPr>
          <w:rFonts w:ascii="Times New Roman" w:hAnsi="Times New Roman"/>
          <w:lang w:eastAsia="zh-TW"/>
        </w:rPr>
      </w:pPr>
      <w:r w:rsidRPr="00D25E75">
        <w:rPr>
          <w:rFonts w:ascii="Times New Roman" w:hAnsi="Times New Roman"/>
          <w:lang w:eastAsia="zh-TW"/>
        </w:rPr>
        <w:t>2.1</w:t>
      </w:r>
      <w:r w:rsidRPr="007E4E62">
        <w:rPr>
          <w:rFonts w:ascii="Times New Roman" w:hAnsi="Times New Roman"/>
          <w:lang w:eastAsia="zh-TW"/>
        </w:rPr>
        <w:t xml:space="preserve"> </w:t>
      </w:r>
      <w:r w:rsidR="00C319F7" w:rsidRPr="007E4E62">
        <w:rPr>
          <w:rFonts w:ascii="Times New Roman" w:hAnsi="Times New Roman"/>
          <w:lang w:eastAsia="zh-TW"/>
        </w:rPr>
        <w:t xml:space="preserve">Intra-frequency, inter-frequency, and inter-RAT measurement </w:t>
      </w:r>
    </w:p>
    <w:p w:rsidR="006E2A91" w:rsidRDefault="006E2A91" w:rsidP="007E4E62">
      <w:pPr>
        <w:jc w:val="both"/>
        <w:rPr>
          <w:szCs w:val="20"/>
        </w:rPr>
      </w:pPr>
      <w:r>
        <w:rPr>
          <w:szCs w:val="20"/>
        </w:rPr>
        <w:t xml:space="preserve">The definitions of those concepts should be from </w:t>
      </w:r>
      <w:r w:rsidR="00A539A2">
        <w:rPr>
          <w:szCs w:val="20"/>
        </w:rPr>
        <w:t xml:space="preserve">the </w:t>
      </w:r>
      <w:proofErr w:type="spellStart"/>
      <w:r w:rsidR="00A539A2">
        <w:rPr>
          <w:szCs w:val="20"/>
        </w:rPr>
        <w:t>gNB’s</w:t>
      </w:r>
      <w:proofErr w:type="spellEnd"/>
      <w:r w:rsidR="00A539A2">
        <w:rPr>
          <w:szCs w:val="20"/>
        </w:rPr>
        <w:t xml:space="preserve"> perspective</w:t>
      </w:r>
      <w:r>
        <w:rPr>
          <w:szCs w:val="20"/>
        </w:rPr>
        <w:t xml:space="preserve">, regardless of whether there </w:t>
      </w:r>
      <w:r w:rsidR="00AA30CD">
        <w:rPr>
          <w:szCs w:val="20"/>
        </w:rPr>
        <w:t>is a need for</w:t>
      </w:r>
      <w:r>
        <w:rPr>
          <w:szCs w:val="20"/>
        </w:rPr>
        <w:t xml:space="preserve"> measurement gaps at UEs. </w:t>
      </w:r>
      <w:r w:rsidR="008C0860">
        <w:rPr>
          <w:szCs w:val="20"/>
        </w:rPr>
        <w:t xml:space="preserve">After all, necessity of measurement gaps depends on UE’s capabilities. Based on this point, so long as the measurement object </w:t>
      </w:r>
      <w:r w:rsidR="00093F87">
        <w:rPr>
          <w:szCs w:val="20"/>
        </w:rPr>
        <w:t>uses the same RAT as th</w:t>
      </w:r>
      <w:r w:rsidR="00740B0D">
        <w:rPr>
          <w:szCs w:val="20"/>
        </w:rPr>
        <w:t>e RF chain used for measurement</w:t>
      </w:r>
      <w:r w:rsidR="00093F87">
        <w:rPr>
          <w:szCs w:val="20"/>
        </w:rPr>
        <w:t xml:space="preserve">, and </w:t>
      </w:r>
      <w:r w:rsidR="008C0860">
        <w:rPr>
          <w:szCs w:val="20"/>
        </w:rPr>
        <w:t xml:space="preserve">has the same </w:t>
      </w:r>
      <w:r w:rsidR="00317B32">
        <w:rPr>
          <w:szCs w:val="20"/>
        </w:rPr>
        <w:t>carrier frequency with that of the serving cells from the system</w:t>
      </w:r>
      <w:r w:rsidR="00A539A2">
        <w:rPr>
          <w:szCs w:val="20"/>
        </w:rPr>
        <w:t>’s</w:t>
      </w:r>
      <w:r w:rsidR="00317B32">
        <w:rPr>
          <w:szCs w:val="20"/>
        </w:rPr>
        <w:t xml:space="preserve"> point of view, the measurement is deemed as intra-frequency measurement. If the measurement object </w:t>
      </w:r>
      <w:r w:rsidR="00A539A2">
        <w:rPr>
          <w:szCs w:val="20"/>
        </w:rPr>
        <w:t xml:space="preserve">uses the same RAT, but </w:t>
      </w:r>
      <w:r w:rsidR="00317B32">
        <w:rPr>
          <w:szCs w:val="20"/>
        </w:rPr>
        <w:t xml:space="preserve">has a different carrier frequency with any of the serving cells, it is considered as inter-frequency measurement. Finally, if the measurement object uses a different RAT, the measurement is inter-RAT. </w:t>
      </w:r>
      <w:r w:rsidR="006E5E9C">
        <w:rPr>
          <w:szCs w:val="20"/>
        </w:rPr>
        <w:t xml:space="preserve">We use the following cases to illustrate the definitions.  </w:t>
      </w:r>
      <w:r w:rsidR="009F4D40">
        <w:rPr>
          <w:szCs w:val="20"/>
        </w:rPr>
        <w:t xml:space="preserve">  </w:t>
      </w:r>
      <w:r w:rsidR="00317B32">
        <w:rPr>
          <w:szCs w:val="20"/>
        </w:rPr>
        <w:t xml:space="preserve">   </w:t>
      </w:r>
      <w:r w:rsidR="008C0860">
        <w:rPr>
          <w:szCs w:val="20"/>
        </w:rPr>
        <w:t xml:space="preserve"> </w:t>
      </w:r>
    </w:p>
    <w:p w:rsidR="004C42DC" w:rsidRDefault="006E2A91" w:rsidP="004E63E5">
      <w:pPr>
        <w:pStyle w:val="ListParagraph"/>
        <w:numPr>
          <w:ilvl w:val="1"/>
          <w:numId w:val="30"/>
        </w:numPr>
        <w:spacing w:before="0" w:after="0"/>
        <w:ind w:left="357" w:hanging="357"/>
        <w:contextualSpacing w:val="0"/>
        <w:jc w:val="both"/>
        <w:rPr>
          <w:szCs w:val="20"/>
        </w:rPr>
      </w:pPr>
      <w:r w:rsidRPr="00CE4757">
        <w:rPr>
          <w:szCs w:val="20"/>
        </w:rPr>
        <w:t xml:space="preserve">For NSA case, </w:t>
      </w:r>
      <w:r w:rsidR="00AF6716">
        <w:rPr>
          <w:szCs w:val="20"/>
        </w:rPr>
        <w:t>if the UE uses two RF chains for dual connectivity, with one chain for LTE, and the other for NR</w:t>
      </w:r>
      <w:r w:rsidR="00EF22D7">
        <w:rPr>
          <w:szCs w:val="20"/>
        </w:rPr>
        <w:t xml:space="preserve">. </w:t>
      </w:r>
      <w:r w:rsidR="0044794C">
        <w:rPr>
          <w:szCs w:val="20"/>
        </w:rPr>
        <w:t>Then we</w:t>
      </w:r>
      <w:r w:rsidR="00ED4A78">
        <w:rPr>
          <w:szCs w:val="20"/>
        </w:rPr>
        <w:t xml:space="preserve"> should </w:t>
      </w:r>
      <w:r w:rsidR="002C0DFF">
        <w:rPr>
          <w:szCs w:val="20"/>
        </w:rPr>
        <w:t>take</w:t>
      </w:r>
      <w:r w:rsidR="00ED4A78">
        <w:rPr>
          <w:szCs w:val="20"/>
        </w:rPr>
        <w:t xml:space="preserve"> which RF chain is used for measurement</w:t>
      </w:r>
      <w:r w:rsidR="002C0DFF">
        <w:rPr>
          <w:szCs w:val="20"/>
        </w:rPr>
        <w:t xml:space="preserve"> into account</w:t>
      </w:r>
      <w:r w:rsidR="0044794C">
        <w:rPr>
          <w:szCs w:val="20"/>
        </w:rPr>
        <w:t xml:space="preserve"> </w:t>
      </w:r>
      <w:r w:rsidR="006731DC">
        <w:rPr>
          <w:szCs w:val="20"/>
        </w:rPr>
        <w:t>in</w:t>
      </w:r>
      <w:r w:rsidR="0044794C">
        <w:rPr>
          <w:szCs w:val="20"/>
        </w:rPr>
        <w:t xml:space="preserve"> determining whether the measurement is intra-frequency, inter-frequency, or inter-RAT</w:t>
      </w:r>
      <w:r w:rsidR="00A86E06">
        <w:rPr>
          <w:szCs w:val="20"/>
        </w:rPr>
        <w:t xml:space="preserve">. </w:t>
      </w:r>
      <w:r w:rsidR="002C0DFF">
        <w:rPr>
          <w:szCs w:val="20"/>
        </w:rPr>
        <w:t>For instance, i</w:t>
      </w:r>
      <w:r w:rsidR="00EF22D7">
        <w:rPr>
          <w:szCs w:val="20"/>
        </w:rPr>
        <w:t>f</w:t>
      </w:r>
      <w:r w:rsidR="002C0DFF">
        <w:rPr>
          <w:szCs w:val="20"/>
        </w:rPr>
        <w:t xml:space="preserve"> the</w:t>
      </w:r>
      <w:r w:rsidR="00EF22D7">
        <w:rPr>
          <w:szCs w:val="20"/>
        </w:rPr>
        <w:t xml:space="preserve"> </w:t>
      </w:r>
      <w:r w:rsidR="000A762A">
        <w:rPr>
          <w:szCs w:val="20"/>
        </w:rPr>
        <w:t>to-be-measured</w:t>
      </w:r>
      <w:r w:rsidRPr="00CE4757">
        <w:rPr>
          <w:szCs w:val="20"/>
        </w:rPr>
        <w:t xml:space="preserve"> </w:t>
      </w:r>
      <w:r w:rsidR="00ED4A78">
        <w:rPr>
          <w:szCs w:val="20"/>
        </w:rPr>
        <w:t xml:space="preserve">frequency is an </w:t>
      </w:r>
      <w:r w:rsidRPr="00CE4757">
        <w:rPr>
          <w:szCs w:val="20"/>
        </w:rPr>
        <w:t>NR frequency</w:t>
      </w:r>
      <w:r w:rsidR="00ED4A78">
        <w:rPr>
          <w:szCs w:val="20"/>
        </w:rPr>
        <w:t xml:space="preserve">, </w:t>
      </w:r>
      <w:r w:rsidR="002C0DFF">
        <w:rPr>
          <w:szCs w:val="20"/>
        </w:rPr>
        <w:t xml:space="preserve">when the LTE chain is used for measurement, then the measurement is inter-RAT, on the other hand, when the NR chain is used for measurement, then the measurement is </w:t>
      </w:r>
      <w:r w:rsidR="009C2DD4">
        <w:rPr>
          <w:szCs w:val="20"/>
        </w:rPr>
        <w:t xml:space="preserve">either </w:t>
      </w:r>
      <w:r w:rsidR="002C0DFF">
        <w:rPr>
          <w:szCs w:val="20"/>
        </w:rPr>
        <w:t xml:space="preserve">intra-frequency or inter-frequency, depending on whether the </w:t>
      </w:r>
      <w:r w:rsidR="000A762A">
        <w:rPr>
          <w:szCs w:val="20"/>
        </w:rPr>
        <w:t>to-be-measured</w:t>
      </w:r>
      <w:r w:rsidR="002C0DFF">
        <w:rPr>
          <w:szCs w:val="20"/>
        </w:rPr>
        <w:t xml:space="preserve"> NR frequency is the same with the serving NR frequency or not. </w:t>
      </w:r>
      <w:r w:rsidR="00ED4A78">
        <w:rPr>
          <w:szCs w:val="20"/>
        </w:rPr>
        <w:t xml:space="preserve"> </w:t>
      </w:r>
    </w:p>
    <w:p w:rsidR="004C42DC" w:rsidRPr="004E63E5" w:rsidRDefault="004C42DC" w:rsidP="004E63E5">
      <w:pPr>
        <w:spacing w:before="0" w:after="0"/>
        <w:jc w:val="both"/>
        <w:rPr>
          <w:szCs w:val="20"/>
        </w:rPr>
      </w:pPr>
    </w:p>
    <w:p w:rsidR="00716F5A" w:rsidRDefault="00716F5A" w:rsidP="007E4E62">
      <w:pPr>
        <w:pStyle w:val="ListParagraph"/>
        <w:spacing w:before="0" w:after="0"/>
        <w:ind w:left="357"/>
        <w:contextualSpacing w:val="0"/>
        <w:jc w:val="both"/>
        <w:rPr>
          <w:szCs w:val="20"/>
        </w:rPr>
      </w:pPr>
    </w:p>
    <w:p w:rsidR="006E2A91" w:rsidRDefault="009A59F0" w:rsidP="007E4E62">
      <w:pPr>
        <w:pStyle w:val="ListParagraph"/>
        <w:spacing w:before="0" w:after="0"/>
        <w:ind w:left="357"/>
        <w:contextualSpacing w:val="0"/>
        <w:jc w:val="center"/>
        <w:rPr>
          <w:szCs w:val="20"/>
        </w:rPr>
      </w:pPr>
      <w:r w:rsidRPr="009A59F0">
        <w:rPr>
          <w:noProof/>
        </w:rPr>
        <w:lastRenderedPageBreak/>
        <w:drawing>
          <wp:inline distT="0" distB="0" distL="0" distR="0">
            <wp:extent cx="3125945" cy="27461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8558" cy="2748472"/>
                    </a:xfrm>
                    <a:prstGeom prst="rect">
                      <a:avLst/>
                    </a:prstGeom>
                    <a:noFill/>
                    <a:ln>
                      <a:noFill/>
                    </a:ln>
                  </pic:spPr>
                </pic:pic>
              </a:graphicData>
            </a:graphic>
          </wp:inline>
        </w:drawing>
      </w:r>
    </w:p>
    <w:p w:rsidR="00716F5A" w:rsidRDefault="00716F5A" w:rsidP="004E63E5">
      <w:pPr>
        <w:pStyle w:val="ListParagraph"/>
        <w:spacing w:before="0" w:after="120"/>
        <w:ind w:left="357"/>
        <w:contextualSpacing w:val="0"/>
        <w:jc w:val="center"/>
        <w:rPr>
          <w:szCs w:val="20"/>
        </w:rPr>
      </w:pPr>
      <w:r>
        <w:rPr>
          <w:szCs w:val="20"/>
        </w:rPr>
        <w:t xml:space="preserve">Figure 2.1-1 </w:t>
      </w:r>
      <w:r w:rsidR="0078517E">
        <w:rPr>
          <w:szCs w:val="20"/>
        </w:rPr>
        <w:t>Intra-frequency measurement with ba</w:t>
      </w:r>
      <w:r>
        <w:rPr>
          <w:szCs w:val="20"/>
        </w:rPr>
        <w:t>ndwidth adaptation</w:t>
      </w:r>
      <w:r w:rsidR="0078517E">
        <w:rPr>
          <w:szCs w:val="20"/>
        </w:rPr>
        <w:t xml:space="preserve"> and wideband operation</w:t>
      </w:r>
      <w:r w:rsidR="00BC4FE6">
        <w:rPr>
          <w:szCs w:val="20"/>
        </w:rPr>
        <w:t xml:space="preserve">. </w:t>
      </w:r>
      <w:r>
        <w:rPr>
          <w:szCs w:val="20"/>
        </w:rPr>
        <w:t xml:space="preserve">  </w:t>
      </w:r>
    </w:p>
    <w:p w:rsidR="00D10B55" w:rsidRDefault="006E2A91" w:rsidP="004E63E5">
      <w:pPr>
        <w:pStyle w:val="ListParagraph"/>
        <w:numPr>
          <w:ilvl w:val="1"/>
          <w:numId w:val="30"/>
        </w:numPr>
        <w:ind w:left="357" w:hanging="357"/>
        <w:jc w:val="both"/>
      </w:pPr>
      <w:r w:rsidRPr="004E63E5">
        <w:rPr>
          <w:szCs w:val="20"/>
        </w:rPr>
        <w:t>For SA case, the definitions</w:t>
      </w:r>
      <w:r w:rsidR="00195B6F" w:rsidRPr="004E63E5">
        <w:rPr>
          <w:szCs w:val="20"/>
        </w:rPr>
        <w:t xml:space="preserve"> </w:t>
      </w:r>
      <w:r w:rsidRPr="004E63E5">
        <w:rPr>
          <w:szCs w:val="20"/>
        </w:rPr>
        <w:t>are the same as those for LTE,</w:t>
      </w:r>
      <w:r w:rsidR="003F3AE6" w:rsidRPr="004E63E5">
        <w:rPr>
          <w:szCs w:val="20"/>
        </w:rPr>
        <w:t xml:space="preserve"> even with the concepts of bandwidth adaptation</w:t>
      </w:r>
      <w:r w:rsidR="00E5518F">
        <w:rPr>
          <w:szCs w:val="20"/>
        </w:rPr>
        <w:t xml:space="preserve"> and </w:t>
      </w:r>
      <w:r w:rsidR="00E5518F" w:rsidRPr="004E63E5">
        <w:rPr>
          <w:szCs w:val="20"/>
        </w:rPr>
        <w:t>wide band operation</w:t>
      </w:r>
      <w:r w:rsidRPr="004E63E5">
        <w:rPr>
          <w:szCs w:val="20"/>
        </w:rPr>
        <w:t>.</w:t>
      </w:r>
      <w:r w:rsidR="003F3AE6" w:rsidRPr="004E63E5">
        <w:rPr>
          <w:szCs w:val="20"/>
        </w:rPr>
        <w:t xml:space="preserve"> </w:t>
      </w:r>
      <w:r w:rsidR="00716F5A" w:rsidRPr="004E63E5">
        <w:rPr>
          <w:szCs w:val="20"/>
        </w:rPr>
        <w:t>For bandwidth adaptation, so long as the current serv</w:t>
      </w:r>
      <w:r w:rsidR="00DF3507">
        <w:rPr>
          <w:szCs w:val="20"/>
        </w:rPr>
        <w:t xml:space="preserve">ing cell is within the same </w:t>
      </w:r>
      <w:r w:rsidR="00716F5A" w:rsidRPr="004E63E5">
        <w:rPr>
          <w:szCs w:val="20"/>
        </w:rPr>
        <w:t xml:space="preserve">band with the frequency </w:t>
      </w:r>
      <w:r w:rsidR="000A762A">
        <w:rPr>
          <w:szCs w:val="20"/>
        </w:rPr>
        <w:t>to-be-measured</w:t>
      </w:r>
      <w:r w:rsidR="00DF3507">
        <w:rPr>
          <w:szCs w:val="20"/>
        </w:rPr>
        <w:t xml:space="preserve"> from the </w:t>
      </w:r>
      <w:proofErr w:type="spellStart"/>
      <w:r w:rsidR="00F50742">
        <w:rPr>
          <w:szCs w:val="20"/>
        </w:rPr>
        <w:t>gNB</w:t>
      </w:r>
      <w:r w:rsidR="00DF3507">
        <w:rPr>
          <w:szCs w:val="20"/>
        </w:rPr>
        <w:t>’s</w:t>
      </w:r>
      <w:proofErr w:type="spellEnd"/>
      <w:r w:rsidR="00DF3507">
        <w:rPr>
          <w:szCs w:val="20"/>
        </w:rPr>
        <w:t xml:space="preserve"> perspective</w:t>
      </w:r>
      <w:r w:rsidR="00716F5A" w:rsidRPr="004E63E5">
        <w:rPr>
          <w:szCs w:val="20"/>
        </w:rPr>
        <w:t>, the measurement is intra-frequency</w:t>
      </w:r>
      <w:r w:rsidR="008B5321" w:rsidRPr="004E63E5">
        <w:rPr>
          <w:szCs w:val="20"/>
        </w:rPr>
        <w:t xml:space="preserve">. </w:t>
      </w:r>
      <w:r w:rsidR="00D34E11">
        <w:rPr>
          <w:szCs w:val="20"/>
        </w:rPr>
        <w:t xml:space="preserve">With this clarification, </w:t>
      </w:r>
      <w:r w:rsidR="008B5321" w:rsidRPr="004E63E5">
        <w:rPr>
          <w:szCs w:val="20"/>
        </w:rPr>
        <w:t xml:space="preserve">both UE1 and UE2 would conduct intra-frequency measurements </w:t>
      </w:r>
      <w:r w:rsidR="00701245">
        <w:rPr>
          <w:szCs w:val="20"/>
        </w:rPr>
        <w:t>i</w:t>
      </w:r>
      <w:r w:rsidR="00D34E11" w:rsidRPr="00422A66">
        <w:rPr>
          <w:szCs w:val="20"/>
        </w:rPr>
        <w:t>n Figure 2.1-1</w:t>
      </w:r>
      <w:r w:rsidR="008B5321" w:rsidRPr="004E63E5">
        <w:rPr>
          <w:szCs w:val="20"/>
        </w:rPr>
        <w:t xml:space="preserve">, </w:t>
      </w:r>
      <w:r w:rsidR="00D34E11">
        <w:rPr>
          <w:szCs w:val="20"/>
        </w:rPr>
        <w:t>UE1 has the same carrier frequency with that of the to-be-measured wide band CC, hence is intra-frequency measurement. A</w:t>
      </w:r>
      <w:r w:rsidR="008B5321" w:rsidRPr="004E63E5">
        <w:rPr>
          <w:szCs w:val="20"/>
        </w:rPr>
        <w:t>lthough UE</w:t>
      </w:r>
      <w:r w:rsidR="00683F58" w:rsidRPr="004E63E5">
        <w:rPr>
          <w:szCs w:val="20"/>
        </w:rPr>
        <w:t>2</w:t>
      </w:r>
      <w:r w:rsidR="008B5321" w:rsidRPr="004E63E5">
        <w:rPr>
          <w:szCs w:val="20"/>
        </w:rPr>
        <w:t>’s carrier frequency is different from the carrier frequency of the wideband CC</w:t>
      </w:r>
      <w:r w:rsidR="00734D1B">
        <w:rPr>
          <w:szCs w:val="20"/>
        </w:rPr>
        <w:t xml:space="preserve"> from the UE’s perspective, but from the </w:t>
      </w:r>
      <w:proofErr w:type="spellStart"/>
      <w:r w:rsidR="00734D1B">
        <w:rPr>
          <w:szCs w:val="20"/>
        </w:rPr>
        <w:t>gNB’s</w:t>
      </w:r>
      <w:proofErr w:type="spellEnd"/>
      <w:r w:rsidR="00734D1B">
        <w:rPr>
          <w:szCs w:val="20"/>
        </w:rPr>
        <w:t xml:space="preserve"> view, UE2’s current serving cell is in the same wide band as the carrier </w:t>
      </w:r>
      <w:r w:rsidR="000A762A">
        <w:rPr>
          <w:szCs w:val="20"/>
        </w:rPr>
        <w:t>to-be-measured</w:t>
      </w:r>
      <w:r w:rsidR="007E4E62" w:rsidRPr="004E63E5">
        <w:rPr>
          <w:szCs w:val="20"/>
        </w:rPr>
        <w:t xml:space="preserve">. </w:t>
      </w:r>
      <w:r w:rsidR="000F4EB4" w:rsidRPr="004E63E5">
        <w:rPr>
          <w:szCs w:val="20"/>
        </w:rPr>
        <w:t>This definition is quite similar to th</w:t>
      </w:r>
      <w:r w:rsidR="007E4E62" w:rsidRPr="004E63E5">
        <w:rPr>
          <w:szCs w:val="20"/>
        </w:rPr>
        <w:t>at</w:t>
      </w:r>
      <w:r w:rsidR="000F4EB4" w:rsidRPr="004E63E5">
        <w:rPr>
          <w:szCs w:val="20"/>
        </w:rPr>
        <w:t xml:space="preserve"> for MTC measurement</w:t>
      </w:r>
      <w:r w:rsidR="008C16F3" w:rsidRPr="004E63E5">
        <w:rPr>
          <w:szCs w:val="20"/>
        </w:rPr>
        <w:t xml:space="preserve">, where UEs need to retune to the center frequency of the wide band to do measurement. </w:t>
      </w:r>
      <w:r w:rsidR="00E5518F" w:rsidRPr="004E63E5">
        <w:rPr>
          <w:szCs w:val="20"/>
        </w:rPr>
        <w:t>For wide band operation, whether the UE uses a single wide band CC or uses CA to aggregate several narrow band CCs</w:t>
      </w:r>
      <w:r w:rsidR="0035442B">
        <w:rPr>
          <w:szCs w:val="20"/>
        </w:rPr>
        <w:t xml:space="preserve"> are the same from the </w:t>
      </w:r>
      <w:proofErr w:type="spellStart"/>
      <w:r w:rsidR="0035442B">
        <w:rPr>
          <w:szCs w:val="20"/>
        </w:rPr>
        <w:t>gNB’s</w:t>
      </w:r>
      <w:proofErr w:type="spellEnd"/>
      <w:r w:rsidR="0035442B">
        <w:rPr>
          <w:szCs w:val="20"/>
        </w:rPr>
        <w:t xml:space="preserve"> perspective, so UE3 would also conduct intra-frequency measurement although it uses aggregated 4 CCs to support the wide band</w:t>
      </w:r>
      <w:r w:rsidR="00E5518F" w:rsidRPr="004E63E5">
        <w:rPr>
          <w:szCs w:val="20"/>
        </w:rPr>
        <w:t>.</w:t>
      </w:r>
    </w:p>
    <w:p w:rsidR="00B816CA" w:rsidRPr="004E63E5" w:rsidRDefault="00B816CA" w:rsidP="004E63E5">
      <w:pPr>
        <w:pStyle w:val="ListParagraph"/>
        <w:spacing w:before="0" w:after="0"/>
        <w:ind w:left="357"/>
        <w:contextualSpacing w:val="0"/>
        <w:jc w:val="both"/>
        <w:rPr>
          <w:szCs w:val="20"/>
        </w:rPr>
      </w:pPr>
    </w:p>
    <w:p w:rsidR="006E2A91" w:rsidRPr="00C57F5B" w:rsidRDefault="00B816CA" w:rsidP="004E63E5">
      <w:pPr>
        <w:rPr>
          <w:rFonts w:eastAsiaTheme="minorEastAsia"/>
        </w:rPr>
      </w:pPr>
      <w:r w:rsidRPr="004E63E5">
        <w:rPr>
          <w:b/>
          <w:i/>
          <w:szCs w:val="20"/>
        </w:rPr>
        <w:t>Proposal 1: Define intra-frequency, inter-frequency, and inter-RAT measurement</w:t>
      </w:r>
      <w:r w:rsidR="00CE5BF4">
        <w:rPr>
          <w:b/>
          <w:i/>
          <w:szCs w:val="20"/>
        </w:rPr>
        <w:t>s</w:t>
      </w:r>
      <w:r w:rsidRPr="004E63E5">
        <w:rPr>
          <w:b/>
          <w:i/>
          <w:szCs w:val="20"/>
        </w:rPr>
        <w:t xml:space="preserve"> from </w:t>
      </w:r>
      <w:r w:rsidR="00745AEE">
        <w:rPr>
          <w:b/>
          <w:i/>
          <w:szCs w:val="20"/>
        </w:rPr>
        <w:t>the</w:t>
      </w:r>
      <w:r w:rsidRPr="004E63E5">
        <w:rPr>
          <w:b/>
          <w:i/>
          <w:szCs w:val="20"/>
        </w:rPr>
        <w:t xml:space="preserve"> </w:t>
      </w:r>
      <w:proofErr w:type="spellStart"/>
      <w:r w:rsidR="00A9601A">
        <w:rPr>
          <w:b/>
          <w:i/>
          <w:szCs w:val="20"/>
        </w:rPr>
        <w:t>gNB</w:t>
      </w:r>
      <w:r w:rsidR="00745AEE">
        <w:rPr>
          <w:b/>
          <w:i/>
          <w:szCs w:val="20"/>
        </w:rPr>
        <w:t>’s</w:t>
      </w:r>
      <w:proofErr w:type="spellEnd"/>
      <w:r w:rsidR="00CE5BF4">
        <w:rPr>
          <w:b/>
          <w:i/>
          <w:szCs w:val="20"/>
        </w:rPr>
        <w:t xml:space="preserve"> </w:t>
      </w:r>
      <w:r w:rsidR="00A9601A">
        <w:rPr>
          <w:b/>
          <w:i/>
          <w:szCs w:val="20"/>
        </w:rPr>
        <w:t>perspective</w:t>
      </w:r>
      <w:r w:rsidR="00CE5BF4">
        <w:rPr>
          <w:b/>
          <w:i/>
          <w:szCs w:val="20"/>
        </w:rPr>
        <w:t xml:space="preserve">, and decouple the definitions with discussions on the necessity of measurement gaps.   </w:t>
      </w:r>
      <w:r w:rsidRPr="004E63E5">
        <w:rPr>
          <w:b/>
          <w:i/>
          <w:szCs w:val="20"/>
        </w:rPr>
        <w:t xml:space="preserve"> </w:t>
      </w:r>
      <w:r w:rsidR="008B5321" w:rsidRPr="004E63E5">
        <w:rPr>
          <w:b/>
          <w:i/>
          <w:szCs w:val="20"/>
        </w:rPr>
        <w:t xml:space="preserve"> </w:t>
      </w:r>
      <w:r w:rsidR="006E2A91" w:rsidRPr="004E63E5">
        <w:rPr>
          <w:b/>
          <w:i/>
          <w:szCs w:val="20"/>
        </w:rPr>
        <w:t xml:space="preserve"> </w:t>
      </w:r>
    </w:p>
    <w:p w:rsidR="004D2A3B" w:rsidRDefault="00EE761A" w:rsidP="004D2A3B">
      <w:pPr>
        <w:pStyle w:val="Heading2"/>
        <w:tabs>
          <w:tab w:val="num" w:pos="567"/>
        </w:tabs>
        <w:ind w:left="567" w:hanging="567"/>
        <w:rPr>
          <w:rFonts w:ascii="Times New Roman" w:eastAsiaTheme="minorEastAsia" w:hAnsi="Times New Roman"/>
          <w:lang w:eastAsia="zh-CN"/>
        </w:rPr>
      </w:pPr>
      <w:r>
        <w:rPr>
          <w:rFonts w:ascii="Times New Roman" w:hAnsi="Times New Roman"/>
          <w:lang w:eastAsia="zh-TW"/>
        </w:rPr>
        <w:t>2.</w:t>
      </w:r>
      <w:r w:rsidR="00BE5626">
        <w:rPr>
          <w:rFonts w:ascii="Times New Roman" w:hAnsi="Times New Roman"/>
          <w:lang w:eastAsia="zh-TW"/>
        </w:rPr>
        <w:t>2</w:t>
      </w:r>
      <w:r w:rsidR="004D2A3B">
        <w:rPr>
          <w:lang w:eastAsia="zh-CN"/>
        </w:rPr>
        <w:t xml:space="preserve"> </w:t>
      </w:r>
      <w:r w:rsidR="004D2A3B" w:rsidRPr="00D25E75">
        <w:rPr>
          <w:rFonts w:ascii="Times New Roman" w:hAnsi="Times New Roman"/>
          <w:lang w:eastAsia="zh-TW"/>
        </w:rPr>
        <w:t xml:space="preserve">Measurement </w:t>
      </w:r>
      <w:r w:rsidR="00C319F7">
        <w:rPr>
          <w:rFonts w:ascii="Times New Roman" w:hAnsi="Times New Roman"/>
          <w:lang w:eastAsia="zh-TW"/>
        </w:rPr>
        <w:t>gap</w:t>
      </w:r>
      <w:r w:rsidR="00C319F7">
        <w:rPr>
          <w:rFonts w:ascii="Times New Roman" w:eastAsiaTheme="minorEastAsia" w:hAnsi="Times New Roman" w:hint="eastAsia"/>
          <w:lang w:eastAsia="zh-CN"/>
        </w:rPr>
        <w:t xml:space="preserve"> </w:t>
      </w:r>
    </w:p>
    <w:p w:rsidR="003144EF" w:rsidRPr="007105F8" w:rsidRDefault="00B816CA" w:rsidP="004E63E5">
      <w:pPr>
        <w:jc w:val="both"/>
        <w:rPr>
          <w:szCs w:val="20"/>
        </w:rPr>
      </w:pPr>
      <w:r>
        <w:rPr>
          <w:lang w:eastAsia="zh-TW"/>
        </w:rPr>
        <w:t>With the definitions for intra-frequency, inter-frequency, and inter-RAT measurement</w:t>
      </w:r>
      <w:r w:rsidR="008774C5">
        <w:rPr>
          <w:lang w:eastAsia="zh-TW"/>
        </w:rPr>
        <w:t>s</w:t>
      </w:r>
      <w:r>
        <w:rPr>
          <w:lang w:eastAsia="zh-TW"/>
        </w:rPr>
        <w:t xml:space="preserve"> in Section 2.1, measurement gaps can be discussed separately. In the following, </w:t>
      </w:r>
      <w:r>
        <w:rPr>
          <w:szCs w:val="20"/>
        </w:rPr>
        <w:t xml:space="preserve">we </w:t>
      </w:r>
      <w:r w:rsidR="0042594E">
        <w:rPr>
          <w:szCs w:val="20"/>
        </w:rPr>
        <w:t>observe</w:t>
      </w:r>
      <w:r>
        <w:rPr>
          <w:szCs w:val="20"/>
        </w:rPr>
        <w:t xml:space="preserve"> that </w:t>
      </w:r>
      <w:r w:rsidR="007D5EAB">
        <w:rPr>
          <w:szCs w:val="20"/>
        </w:rPr>
        <w:t>the need of measurement gaps in NR can be different from that in LTE, in particular, measurement gaps may be needed</w:t>
      </w:r>
      <w:r w:rsidR="007D5EAB" w:rsidDel="007D5EAB">
        <w:rPr>
          <w:szCs w:val="20"/>
        </w:rPr>
        <w:t xml:space="preserve"> </w:t>
      </w:r>
      <w:r>
        <w:rPr>
          <w:szCs w:val="20"/>
        </w:rPr>
        <w:t xml:space="preserve">for some intra-frequency measurement cases, </w:t>
      </w:r>
      <w:r w:rsidR="007D5EAB">
        <w:rPr>
          <w:szCs w:val="20"/>
        </w:rPr>
        <w:t xml:space="preserve">and may </w:t>
      </w:r>
      <w:r w:rsidR="00B57AAA">
        <w:rPr>
          <w:szCs w:val="20"/>
        </w:rPr>
        <w:t xml:space="preserve">not be </w:t>
      </w:r>
      <w:r w:rsidR="007D5EAB">
        <w:rPr>
          <w:szCs w:val="20"/>
        </w:rPr>
        <w:t>need</w:t>
      </w:r>
      <w:r w:rsidR="00B57AAA">
        <w:rPr>
          <w:szCs w:val="20"/>
        </w:rPr>
        <w:t>ed</w:t>
      </w:r>
      <w:r w:rsidR="007D5EAB">
        <w:rPr>
          <w:szCs w:val="20"/>
        </w:rPr>
        <w:t xml:space="preserve"> for some inter-RAT cases. </w:t>
      </w:r>
      <w:r>
        <w:rPr>
          <w:szCs w:val="20"/>
        </w:rPr>
        <w:t xml:space="preserve"> </w:t>
      </w:r>
    </w:p>
    <w:p w:rsidR="00CF7D7A" w:rsidRPr="004E63E5" w:rsidRDefault="00CF7D7A" w:rsidP="004E63E5">
      <w:pPr>
        <w:pStyle w:val="ListParagraph"/>
        <w:numPr>
          <w:ilvl w:val="0"/>
          <w:numId w:val="33"/>
        </w:numPr>
        <w:ind w:left="357" w:hanging="357"/>
        <w:jc w:val="both"/>
        <w:rPr>
          <w:szCs w:val="20"/>
        </w:rPr>
      </w:pPr>
      <w:r w:rsidRPr="004E63E5">
        <w:rPr>
          <w:szCs w:val="20"/>
        </w:rPr>
        <w:t>Intra-frequency measurement:</w:t>
      </w:r>
    </w:p>
    <w:p w:rsidR="00EB6CA4" w:rsidRDefault="003B07F1" w:rsidP="004E63E5">
      <w:pPr>
        <w:jc w:val="both"/>
        <w:rPr>
          <w:szCs w:val="20"/>
        </w:rPr>
      </w:pPr>
      <w:r>
        <w:rPr>
          <w:szCs w:val="20"/>
        </w:rPr>
        <w:t>With the support of b</w:t>
      </w:r>
      <w:r w:rsidR="00874823">
        <w:rPr>
          <w:szCs w:val="20"/>
        </w:rPr>
        <w:t xml:space="preserve">andwidth adaptation </w:t>
      </w:r>
      <w:r>
        <w:rPr>
          <w:szCs w:val="20"/>
        </w:rPr>
        <w:t>in NR, several intra-frequency measurement</w:t>
      </w:r>
      <w:r w:rsidR="00683F58">
        <w:rPr>
          <w:szCs w:val="20"/>
        </w:rPr>
        <w:t>s</w:t>
      </w:r>
      <w:r>
        <w:rPr>
          <w:szCs w:val="20"/>
        </w:rPr>
        <w:t xml:space="preserve"> need gap</w:t>
      </w:r>
      <w:r w:rsidR="00683F58">
        <w:rPr>
          <w:szCs w:val="20"/>
        </w:rPr>
        <w:t>s</w:t>
      </w:r>
      <w:r>
        <w:rPr>
          <w:szCs w:val="20"/>
        </w:rPr>
        <w:t xml:space="preserve">. As shown in Figure 2.1-1, </w:t>
      </w:r>
      <w:r w:rsidR="00072B2D">
        <w:rPr>
          <w:szCs w:val="20"/>
        </w:rPr>
        <w:t>although UE1 has the same center frequency with the wide band CC, it needs to adjust the bandwidth</w:t>
      </w:r>
      <w:r w:rsidR="00874823">
        <w:rPr>
          <w:szCs w:val="20"/>
        </w:rPr>
        <w:t xml:space="preserve"> </w:t>
      </w:r>
      <w:r w:rsidR="00072B2D">
        <w:rPr>
          <w:szCs w:val="20"/>
        </w:rPr>
        <w:t>in order to receive SS blocks for measurement, and according to</w:t>
      </w:r>
      <w:r w:rsidR="00B5512C">
        <w:rPr>
          <w:szCs w:val="20"/>
        </w:rPr>
        <w:t xml:space="preserve"> [</w:t>
      </w:r>
      <w:r w:rsidR="008A576B">
        <w:rPr>
          <w:szCs w:val="20"/>
        </w:rPr>
        <w:t>2</w:t>
      </w:r>
      <w:r w:rsidR="00B5512C">
        <w:rPr>
          <w:szCs w:val="20"/>
        </w:rPr>
        <w:t>], at least for sub6</w:t>
      </w:r>
      <w:r w:rsidR="008A576B">
        <w:rPr>
          <w:szCs w:val="20"/>
        </w:rPr>
        <w:t xml:space="preserve"> </w:t>
      </w:r>
      <w:r w:rsidR="00B5512C">
        <w:rPr>
          <w:szCs w:val="20"/>
        </w:rPr>
        <w:t xml:space="preserve">GHz, the transition time could be up to 20 us, and measurement gap is necessary. UE2 needs to </w:t>
      </w:r>
      <w:r w:rsidR="00EB6CA4">
        <w:rPr>
          <w:szCs w:val="20"/>
        </w:rPr>
        <w:t>retune to the center frequency of the wide band, and the transition time can be 50~200 us</w:t>
      </w:r>
      <w:r w:rsidR="008A57EE">
        <w:rPr>
          <w:szCs w:val="20"/>
        </w:rPr>
        <w:t xml:space="preserve"> [</w:t>
      </w:r>
      <w:r w:rsidR="008A576B">
        <w:rPr>
          <w:szCs w:val="20"/>
        </w:rPr>
        <w:t>2</w:t>
      </w:r>
      <w:r w:rsidR="008A57EE">
        <w:rPr>
          <w:szCs w:val="20"/>
        </w:rPr>
        <w:t>]</w:t>
      </w:r>
      <w:r w:rsidR="008A576B">
        <w:rPr>
          <w:szCs w:val="20"/>
        </w:rPr>
        <w:t>, m</w:t>
      </w:r>
      <w:r w:rsidR="00EB6CA4">
        <w:rPr>
          <w:szCs w:val="20"/>
        </w:rPr>
        <w:t>easurement gap is also required</w:t>
      </w:r>
      <w:r w:rsidR="008A576B">
        <w:rPr>
          <w:szCs w:val="20"/>
        </w:rPr>
        <w:t xml:space="preserve"> for UE2</w:t>
      </w:r>
      <w:r w:rsidR="00EB6CA4">
        <w:rPr>
          <w:szCs w:val="20"/>
        </w:rPr>
        <w:t xml:space="preserve">. </w:t>
      </w:r>
      <w:r w:rsidR="00602972">
        <w:rPr>
          <w:szCs w:val="20"/>
        </w:rPr>
        <w:t xml:space="preserve">If UEs can only support a </w:t>
      </w:r>
      <w:r w:rsidR="00950AEF">
        <w:rPr>
          <w:szCs w:val="20"/>
        </w:rPr>
        <w:t xml:space="preserve">narrow band, for instance, UE2 can only support a band part (BP) in Figure 2.1-1, then to obtain the SS block in BP1 or BP3, the serving cell could notify UE2 to change to BP1 or BP3, again, in this case, UE2 would change its </w:t>
      </w:r>
      <w:r w:rsidR="008A576B">
        <w:rPr>
          <w:szCs w:val="20"/>
        </w:rPr>
        <w:t>carrier</w:t>
      </w:r>
      <w:r w:rsidR="00950AEF">
        <w:rPr>
          <w:szCs w:val="20"/>
        </w:rPr>
        <w:t xml:space="preserve"> frequency and requires measurement gap.  </w:t>
      </w:r>
      <w:r w:rsidR="00602972">
        <w:rPr>
          <w:szCs w:val="20"/>
        </w:rPr>
        <w:t xml:space="preserve"> </w:t>
      </w:r>
    </w:p>
    <w:p w:rsidR="003144EF" w:rsidRDefault="00950AEF" w:rsidP="004E63E5">
      <w:pPr>
        <w:jc w:val="both"/>
        <w:rPr>
          <w:rFonts w:eastAsiaTheme="minorEastAsia"/>
          <w:szCs w:val="20"/>
        </w:rPr>
      </w:pPr>
      <w:r>
        <w:rPr>
          <w:szCs w:val="20"/>
        </w:rPr>
        <w:t xml:space="preserve">In addition, </w:t>
      </w:r>
      <w:r>
        <w:rPr>
          <w:rFonts w:eastAsiaTheme="minorEastAsia"/>
          <w:szCs w:val="20"/>
        </w:rPr>
        <w:t xml:space="preserve">if </w:t>
      </w:r>
      <w:r w:rsidR="003144EF">
        <w:rPr>
          <w:rFonts w:eastAsiaTheme="minorEastAsia"/>
          <w:szCs w:val="20"/>
        </w:rPr>
        <w:t xml:space="preserve">Rx </w:t>
      </w:r>
      <w:proofErr w:type="spellStart"/>
      <w:r w:rsidR="003144EF">
        <w:rPr>
          <w:rFonts w:eastAsiaTheme="minorEastAsia"/>
          <w:szCs w:val="20"/>
        </w:rPr>
        <w:t>beamforming</w:t>
      </w:r>
      <w:proofErr w:type="spellEnd"/>
      <w:r w:rsidR="007D2F27">
        <w:rPr>
          <w:rFonts w:eastAsiaTheme="minorEastAsia"/>
          <w:szCs w:val="20"/>
        </w:rPr>
        <w:t xml:space="preserve"> is employed at the UE side</w:t>
      </w:r>
      <w:r w:rsidR="003144EF">
        <w:rPr>
          <w:rFonts w:eastAsiaTheme="minorEastAsia"/>
          <w:szCs w:val="20"/>
        </w:rPr>
        <w:t xml:space="preserve">, since the Rx </w:t>
      </w:r>
      <w:proofErr w:type="spellStart"/>
      <w:r w:rsidR="003144EF">
        <w:rPr>
          <w:rFonts w:eastAsiaTheme="minorEastAsia"/>
          <w:szCs w:val="20"/>
        </w:rPr>
        <w:t>beamforming</w:t>
      </w:r>
      <w:proofErr w:type="spellEnd"/>
      <w:r w:rsidR="003144EF">
        <w:rPr>
          <w:rFonts w:eastAsiaTheme="minorEastAsia"/>
          <w:szCs w:val="20"/>
        </w:rPr>
        <w:t xml:space="preserve"> direction for measurement can be different from the </w:t>
      </w:r>
      <w:r w:rsidR="00C748D1">
        <w:rPr>
          <w:rFonts w:eastAsiaTheme="minorEastAsia"/>
          <w:szCs w:val="20"/>
        </w:rPr>
        <w:t xml:space="preserve">Rx </w:t>
      </w:r>
      <w:proofErr w:type="spellStart"/>
      <w:r w:rsidR="003144EF">
        <w:rPr>
          <w:rFonts w:eastAsiaTheme="minorEastAsia"/>
          <w:szCs w:val="20"/>
        </w:rPr>
        <w:t>beamforming</w:t>
      </w:r>
      <w:proofErr w:type="spellEnd"/>
      <w:r w:rsidR="003144EF">
        <w:rPr>
          <w:rFonts w:eastAsiaTheme="minorEastAsia"/>
          <w:szCs w:val="20"/>
        </w:rPr>
        <w:t xml:space="preserve"> direction of the serving cell, there is the need to stop receiving from the serving cell if the received signal power is low,</w:t>
      </w:r>
      <w:r>
        <w:rPr>
          <w:rFonts w:eastAsiaTheme="minorEastAsia"/>
          <w:szCs w:val="20"/>
        </w:rPr>
        <w:t xml:space="preserve"> however, </w:t>
      </w:r>
      <w:r w:rsidR="003144EF">
        <w:rPr>
          <w:rFonts w:eastAsiaTheme="minorEastAsia"/>
          <w:szCs w:val="20"/>
        </w:rPr>
        <w:t xml:space="preserve">the UE can still transmit. </w:t>
      </w:r>
    </w:p>
    <w:p w:rsidR="00484A02" w:rsidRDefault="00484A02" w:rsidP="00484A02">
      <w:pPr>
        <w:jc w:val="both"/>
        <w:rPr>
          <w:rFonts w:eastAsiaTheme="minorEastAsia"/>
          <w:b/>
          <w:i/>
          <w:szCs w:val="20"/>
        </w:rPr>
      </w:pPr>
      <w:r>
        <w:rPr>
          <w:rFonts w:eastAsiaTheme="minorEastAsia"/>
          <w:b/>
          <w:i/>
          <w:szCs w:val="20"/>
        </w:rPr>
        <w:t xml:space="preserve">Observation 1: In bandwidth adaptation scenarios, when the bandwidth of the UE is smaller than that of the to-be-measured band, </w:t>
      </w:r>
      <w:r w:rsidRPr="004E63E5">
        <w:rPr>
          <w:rFonts w:eastAsiaTheme="minorEastAsia"/>
          <w:b/>
          <w:i/>
          <w:szCs w:val="20"/>
        </w:rPr>
        <w:t xml:space="preserve">intra-frequency measurements </w:t>
      </w:r>
      <w:r>
        <w:rPr>
          <w:rFonts w:eastAsiaTheme="minorEastAsia"/>
          <w:b/>
          <w:i/>
          <w:szCs w:val="20"/>
        </w:rPr>
        <w:t xml:space="preserve">may </w:t>
      </w:r>
      <w:r w:rsidRPr="004E63E5">
        <w:rPr>
          <w:rFonts w:eastAsiaTheme="minorEastAsia"/>
          <w:b/>
          <w:i/>
          <w:szCs w:val="20"/>
        </w:rPr>
        <w:t>need measurement gaps.</w:t>
      </w:r>
    </w:p>
    <w:p w:rsidR="00484A02" w:rsidRDefault="00484A02" w:rsidP="00484A02">
      <w:pPr>
        <w:jc w:val="both"/>
        <w:rPr>
          <w:lang w:eastAsia="zh-TW"/>
        </w:rPr>
      </w:pPr>
      <w:r>
        <w:rPr>
          <w:rFonts w:eastAsiaTheme="minorEastAsia"/>
          <w:b/>
          <w:i/>
          <w:szCs w:val="20"/>
        </w:rPr>
        <w:lastRenderedPageBreak/>
        <w:t xml:space="preserve">Observation 2: In bandwidth adaptation scenarios, when the carrier frequency of the UE is different from that of the to-be-measured band, </w:t>
      </w:r>
      <w:r w:rsidRPr="004E63E5">
        <w:rPr>
          <w:rFonts w:eastAsiaTheme="minorEastAsia"/>
          <w:b/>
          <w:i/>
          <w:szCs w:val="20"/>
        </w:rPr>
        <w:t xml:space="preserve">intra-frequency measurements </w:t>
      </w:r>
      <w:r>
        <w:rPr>
          <w:rFonts w:eastAsiaTheme="minorEastAsia"/>
          <w:b/>
          <w:i/>
          <w:szCs w:val="20"/>
        </w:rPr>
        <w:t xml:space="preserve">may </w:t>
      </w:r>
      <w:r w:rsidRPr="004E63E5">
        <w:rPr>
          <w:rFonts w:eastAsiaTheme="minorEastAsia"/>
          <w:b/>
          <w:i/>
          <w:szCs w:val="20"/>
        </w:rPr>
        <w:t xml:space="preserve">need measurement gaps.  </w:t>
      </w:r>
    </w:p>
    <w:p w:rsidR="00484A02" w:rsidRPr="00484A02" w:rsidRDefault="009A20F2" w:rsidP="004E63E5">
      <w:pPr>
        <w:jc w:val="both"/>
        <w:rPr>
          <w:rFonts w:eastAsiaTheme="minorEastAsia"/>
          <w:b/>
          <w:i/>
          <w:szCs w:val="20"/>
        </w:rPr>
      </w:pPr>
      <w:r>
        <w:rPr>
          <w:rFonts w:eastAsiaTheme="minorEastAsia"/>
          <w:b/>
          <w:i/>
          <w:szCs w:val="20"/>
        </w:rPr>
        <w:t>Proposal 2</w:t>
      </w:r>
      <w:r w:rsidR="00484A02" w:rsidRPr="00484A02">
        <w:rPr>
          <w:rFonts w:eastAsiaTheme="minorEastAsia"/>
          <w:b/>
          <w:i/>
          <w:szCs w:val="20"/>
        </w:rPr>
        <w:t xml:space="preserve">: Do not preclude measurement gaps for intra-frequency measurement at the current stage. </w:t>
      </w:r>
    </w:p>
    <w:p w:rsidR="00BC629C" w:rsidRDefault="00BC629C" w:rsidP="004E63E5">
      <w:pPr>
        <w:pStyle w:val="ListParagraph"/>
        <w:numPr>
          <w:ilvl w:val="0"/>
          <w:numId w:val="33"/>
        </w:numPr>
        <w:ind w:left="357" w:hanging="357"/>
        <w:jc w:val="both"/>
        <w:rPr>
          <w:rFonts w:eastAsiaTheme="minorEastAsia"/>
          <w:szCs w:val="20"/>
        </w:rPr>
      </w:pPr>
      <w:r>
        <w:rPr>
          <w:rFonts w:eastAsiaTheme="minorEastAsia"/>
          <w:szCs w:val="20"/>
        </w:rPr>
        <w:t xml:space="preserve">Inter-frequency measurement </w:t>
      </w:r>
    </w:p>
    <w:p w:rsidR="003144EF" w:rsidRDefault="00B85268" w:rsidP="004E63E5">
      <w:pPr>
        <w:jc w:val="both"/>
        <w:rPr>
          <w:rFonts w:eastAsiaTheme="minorEastAsia"/>
          <w:szCs w:val="20"/>
        </w:rPr>
      </w:pPr>
      <w:r>
        <w:rPr>
          <w:rFonts w:eastAsiaTheme="minorEastAsia"/>
          <w:szCs w:val="20"/>
        </w:rPr>
        <w:t xml:space="preserve">Since RF retuning is generally required in this case, the RF chain needs to stop transmitting and receiving in the current serving frequency, hence, measurement gap is </w:t>
      </w:r>
      <w:r w:rsidR="002D0174">
        <w:rPr>
          <w:rFonts w:eastAsiaTheme="minorEastAsia"/>
          <w:szCs w:val="20"/>
        </w:rPr>
        <w:t xml:space="preserve">generally </w:t>
      </w:r>
      <w:r>
        <w:rPr>
          <w:rFonts w:eastAsiaTheme="minorEastAsia"/>
          <w:szCs w:val="20"/>
        </w:rPr>
        <w:t xml:space="preserve">necessary.   </w:t>
      </w:r>
    </w:p>
    <w:p w:rsidR="00756C46" w:rsidRDefault="00756C46" w:rsidP="004E63E5">
      <w:pPr>
        <w:pStyle w:val="ListParagraph"/>
        <w:numPr>
          <w:ilvl w:val="0"/>
          <w:numId w:val="33"/>
        </w:numPr>
        <w:ind w:left="357" w:hanging="357"/>
        <w:jc w:val="both"/>
        <w:rPr>
          <w:rFonts w:eastAsiaTheme="minorEastAsia"/>
          <w:szCs w:val="20"/>
        </w:rPr>
      </w:pPr>
      <w:r>
        <w:rPr>
          <w:rFonts w:eastAsiaTheme="minorEastAsia"/>
          <w:szCs w:val="20"/>
        </w:rPr>
        <w:t>Inter-RAT measurement</w:t>
      </w:r>
    </w:p>
    <w:p w:rsidR="00695105" w:rsidRDefault="00714A4A" w:rsidP="004E63E5">
      <w:pPr>
        <w:jc w:val="both"/>
        <w:rPr>
          <w:rFonts w:eastAsiaTheme="minorEastAsia"/>
          <w:szCs w:val="20"/>
        </w:rPr>
      </w:pPr>
      <w:r>
        <w:rPr>
          <w:rFonts w:eastAsiaTheme="minorEastAsia"/>
          <w:szCs w:val="20"/>
        </w:rPr>
        <w:t>If different RATs are using</w:t>
      </w:r>
      <w:r w:rsidR="00766F67">
        <w:rPr>
          <w:rFonts w:eastAsiaTheme="minorEastAsia"/>
          <w:szCs w:val="20"/>
        </w:rPr>
        <w:t xml:space="preserve"> different</w:t>
      </w:r>
      <w:r>
        <w:rPr>
          <w:rFonts w:eastAsiaTheme="minorEastAsia"/>
          <w:szCs w:val="20"/>
        </w:rPr>
        <w:t xml:space="preserve"> carrier</w:t>
      </w:r>
      <w:r w:rsidR="00766F67">
        <w:rPr>
          <w:rFonts w:eastAsiaTheme="minorEastAsia"/>
          <w:szCs w:val="20"/>
        </w:rPr>
        <w:t xml:space="preserve"> </w:t>
      </w:r>
      <w:r w:rsidR="009041AB">
        <w:rPr>
          <w:rFonts w:eastAsiaTheme="minorEastAsia"/>
          <w:szCs w:val="20"/>
        </w:rPr>
        <w:t>frequencie</w:t>
      </w:r>
      <w:r w:rsidR="00766F67">
        <w:rPr>
          <w:rFonts w:eastAsiaTheme="minorEastAsia"/>
          <w:szCs w:val="20"/>
        </w:rPr>
        <w:t>s</w:t>
      </w:r>
      <w:r w:rsidR="00A11769">
        <w:rPr>
          <w:rFonts w:eastAsiaTheme="minorEastAsia"/>
          <w:szCs w:val="20"/>
        </w:rPr>
        <w:t xml:space="preserve">, then measurement gaps are always needed. On the other hand, </w:t>
      </w:r>
      <w:r w:rsidR="001F4C3F">
        <w:rPr>
          <w:rFonts w:eastAsiaTheme="minorEastAsia"/>
          <w:szCs w:val="20"/>
        </w:rPr>
        <w:t xml:space="preserve">RAN4 should investigate whether the case where LTE and NR share the same carrier frequency exists, as shown by Figure 2.2-1. If this case exists, </w:t>
      </w:r>
      <w:r w:rsidR="004E6822">
        <w:rPr>
          <w:rFonts w:eastAsiaTheme="minorEastAsia"/>
          <w:szCs w:val="20"/>
        </w:rPr>
        <w:t>then it is</w:t>
      </w:r>
      <w:r w:rsidR="00A947BA">
        <w:rPr>
          <w:rFonts w:eastAsiaTheme="minorEastAsia"/>
          <w:szCs w:val="20"/>
        </w:rPr>
        <w:t xml:space="preserve"> possible that </w:t>
      </w:r>
      <w:r w:rsidR="00905AE1">
        <w:rPr>
          <w:rFonts w:eastAsiaTheme="minorEastAsia"/>
          <w:szCs w:val="20"/>
        </w:rPr>
        <w:t>the</w:t>
      </w:r>
      <w:r w:rsidR="00A947BA">
        <w:rPr>
          <w:rFonts w:eastAsiaTheme="minorEastAsia"/>
          <w:szCs w:val="20"/>
        </w:rPr>
        <w:t xml:space="preserve"> UEs </w:t>
      </w:r>
      <w:r w:rsidR="00905AE1">
        <w:rPr>
          <w:rFonts w:eastAsiaTheme="minorEastAsia"/>
          <w:szCs w:val="20"/>
        </w:rPr>
        <w:t>may not</w:t>
      </w:r>
      <w:r w:rsidR="00A947BA">
        <w:rPr>
          <w:rFonts w:eastAsiaTheme="minorEastAsia"/>
          <w:szCs w:val="20"/>
        </w:rPr>
        <w:t xml:space="preserve"> need measurement gaps</w:t>
      </w:r>
      <w:r w:rsidR="00684398">
        <w:rPr>
          <w:rFonts w:eastAsiaTheme="minorEastAsia"/>
          <w:szCs w:val="20"/>
        </w:rPr>
        <w:t xml:space="preserve"> for inter-RAT measurement</w:t>
      </w:r>
      <w:r w:rsidR="00A947BA">
        <w:rPr>
          <w:rFonts w:eastAsiaTheme="minorEastAsia"/>
          <w:szCs w:val="20"/>
        </w:rPr>
        <w:t xml:space="preserve">. </w:t>
      </w:r>
    </w:p>
    <w:p w:rsidR="00030074" w:rsidRDefault="00905AE1" w:rsidP="00030074">
      <w:pPr>
        <w:jc w:val="center"/>
        <w:rPr>
          <w:rFonts w:eastAsiaTheme="minorEastAsia"/>
          <w:szCs w:val="20"/>
        </w:rPr>
      </w:pPr>
      <w:r w:rsidRPr="00905AE1">
        <w:rPr>
          <w:rFonts w:eastAsiaTheme="minorEastAsia"/>
          <w:noProof/>
        </w:rPr>
        <w:drawing>
          <wp:inline distT="0" distB="0" distL="0" distR="0" wp14:anchorId="1C26E12F" wp14:editId="1A99976D">
            <wp:extent cx="4880225" cy="14314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1967" cy="1431922"/>
                    </a:xfrm>
                    <a:prstGeom prst="rect">
                      <a:avLst/>
                    </a:prstGeom>
                    <a:noFill/>
                    <a:ln>
                      <a:noFill/>
                    </a:ln>
                  </pic:spPr>
                </pic:pic>
              </a:graphicData>
            </a:graphic>
          </wp:inline>
        </w:drawing>
      </w:r>
    </w:p>
    <w:p w:rsidR="00030074" w:rsidRDefault="00030074" w:rsidP="00030074">
      <w:pPr>
        <w:jc w:val="center"/>
        <w:rPr>
          <w:rFonts w:eastAsiaTheme="minorEastAsia"/>
          <w:szCs w:val="20"/>
        </w:rPr>
      </w:pPr>
      <w:r>
        <w:rPr>
          <w:rFonts w:eastAsiaTheme="minorEastAsia"/>
          <w:szCs w:val="20"/>
        </w:rPr>
        <w:t>Figure 2.2-1</w:t>
      </w:r>
      <w:r w:rsidR="00905AE1">
        <w:rPr>
          <w:rFonts w:eastAsiaTheme="minorEastAsia"/>
          <w:szCs w:val="20"/>
        </w:rPr>
        <w:t xml:space="preserve"> LTE and NR share the same band and </w:t>
      </w:r>
      <w:r w:rsidR="001F4C3F">
        <w:rPr>
          <w:rFonts w:eastAsiaTheme="minorEastAsia"/>
          <w:szCs w:val="20"/>
        </w:rPr>
        <w:t xml:space="preserve">carrier </w:t>
      </w:r>
      <w:r w:rsidR="00905AE1">
        <w:rPr>
          <w:rFonts w:eastAsiaTheme="minorEastAsia"/>
          <w:szCs w:val="20"/>
        </w:rPr>
        <w:t xml:space="preserve">frequency. </w:t>
      </w:r>
    </w:p>
    <w:p w:rsidR="002D201A" w:rsidRPr="002D201A" w:rsidRDefault="002D201A" w:rsidP="002D201A">
      <w:pPr>
        <w:jc w:val="both"/>
        <w:rPr>
          <w:rFonts w:eastAsiaTheme="minorEastAsia"/>
          <w:b/>
          <w:i/>
          <w:szCs w:val="20"/>
        </w:rPr>
      </w:pPr>
      <w:r w:rsidRPr="002D201A">
        <w:rPr>
          <w:rFonts w:eastAsiaTheme="minorEastAsia"/>
          <w:b/>
          <w:i/>
          <w:szCs w:val="20"/>
        </w:rPr>
        <w:t>Pro</w:t>
      </w:r>
      <w:r>
        <w:rPr>
          <w:rFonts w:eastAsiaTheme="minorEastAsia"/>
          <w:b/>
          <w:i/>
          <w:szCs w:val="20"/>
        </w:rPr>
        <w:t>posal 3</w:t>
      </w:r>
      <w:r w:rsidRPr="002D201A">
        <w:rPr>
          <w:rFonts w:eastAsiaTheme="minorEastAsia"/>
          <w:b/>
          <w:i/>
          <w:szCs w:val="20"/>
        </w:rPr>
        <w:t xml:space="preserve">: RAN4 needs to investigate whether </w:t>
      </w:r>
      <w:r w:rsidR="00FF00D6">
        <w:rPr>
          <w:rFonts w:eastAsiaTheme="minorEastAsia"/>
          <w:b/>
          <w:i/>
          <w:szCs w:val="20"/>
        </w:rPr>
        <w:t xml:space="preserve">there </w:t>
      </w:r>
      <w:proofErr w:type="gramStart"/>
      <w:r w:rsidR="00FF00D6">
        <w:rPr>
          <w:rFonts w:eastAsiaTheme="minorEastAsia"/>
          <w:b/>
          <w:i/>
          <w:szCs w:val="20"/>
        </w:rPr>
        <w:t>exists</w:t>
      </w:r>
      <w:proofErr w:type="gramEnd"/>
      <w:r w:rsidR="00FF00D6">
        <w:rPr>
          <w:rFonts w:eastAsiaTheme="minorEastAsia"/>
          <w:b/>
          <w:i/>
          <w:szCs w:val="20"/>
        </w:rPr>
        <w:t xml:space="preserve"> </w:t>
      </w:r>
      <w:r w:rsidRPr="002D201A">
        <w:rPr>
          <w:rFonts w:eastAsiaTheme="minorEastAsia"/>
          <w:b/>
          <w:i/>
          <w:szCs w:val="20"/>
        </w:rPr>
        <w:t xml:space="preserve">the case where LTE and NR share the same carrier frequency.  </w:t>
      </w:r>
    </w:p>
    <w:p w:rsidR="00267DBE" w:rsidRPr="00D25E75" w:rsidRDefault="00B629B5" w:rsidP="002D201A">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3</w:t>
      </w:r>
      <w:r w:rsidR="00B84239" w:rsidRPr="00D25E75">
        <w:rPr>
          <w:rFonts w:ascii="Times New Roman Bold" w:eastAsia="宋体" w:hAnsi="Times New Roman Bold"/>
        </w:rPr>
        <w:t>.</w:t>
      </w:r>
      <w:r w:rsidR="001271D6" w:rsidRPr="00D25E75">
        <w:rPr>
          <w:rFonts w:ascii="Times New Roman Bold" w:eastAsia="宋体" w:hAnsi="Times New Roman Bold"/>
        </w:rPr>
        <w:t xml:space="preserve"> Con</w:t>
      </w:r>
      <w:r w:rsidR="00D54170" w:rsidRPr="00D25E75">
        <w:rPr>
          <w:rFonts w:ascii="Times New Roman Bold" w:eastAsia="宋体" w:hAnsi="Times New Roman Bold" w:hint="eastAsia"/>
        </w:rPr>
        <w:t>c</w:t>
      </w:r>
      <w:r w:rsidR="001271D6" w:rsidRPr="00D25E75">
        <w:rPr>
          <w:rFonts w:ascii="Times New Roman Bold" w:eastAsia="宋体" w:hAnsi="Times New Roman Bold"/>
        </w:rPr>
        <w:t>lusion</w:t>
      </w:r>
      <w:r w:rsidR="00A8038B" w:rsidRPr="00D25E75">
        <w:rPr>
          <w:rFonts w:ascii="Times New Roman Bold" w:eastAsia="宋体" w:hAnsi="Times New Roman Bold" w:hint="eastAsia"/>
        </w:rPr>
        <w:t>s</w:t>
      </w:r>
    </w:p>
    <w:p w:rsidR="00D10B55" w:rsidRDefault="009E2706" w:rsidP="000401E8">
      <w:pPr>
        <w:pStyle w:val="BodyText"/>
        <w:spacing w:beforeLines="50" w:before="120" w:afterLines="50"/>
        <w:rPr>
          <w:rFonts w:eastAsia="PMingLiU"/>
          <w:szCs w:val="21"/>
          <w:lang w:eastAsia="zh-TW"/>
        </w:rPr>
      </w:pPr>
      <w:r>
        <w:rPr>
          <w:rFonts w:eastAsia="PMingLiU"/>
          <w:szCs w:val="21"/>
          <w:lang w:eastAsia="zh-TW"/>
        </w:rPr>
        <w:t xml:space="preserve">In this contribution, we </w:t>
      </w:r>
      <w:r w:rsidR="00A947BA">
        <w:rPr>
          <w:rFonts w:eastAsia="PMingLiU"/>
          <w:szCs w:val="21"/>
          <w:lang w:eastAsia="zh-TW"/>
        </w:rPr>
        <w:t xml:space="preserve">provided an analysis on the definitions of intra-frequency, inter-frequency, and inter-RAT measurements, then we </w:t>
      </w:r>
      <w:r w:rsidR="00436CDF">
        <w:rPr>
          <w:rFonts w:eastAsia="PMingLiU"/>
          <w:szCs w:val="21"/>
          <w:lang w:eastAsia="zh-TW"/>
        </w:rPr>
        <w:t xml:space="preserve">discussed several cases where the need of measurement gaps is different from that in TS 36.133, specifically, intra-frequency measurement sometimes need measurement gaps while inter-RAT sometimes does not. </w:t>
      </w:r>
      <w:r w:rsidR="00D10B55">
        <w:rPr>
          <w:rFonts w:eastAsia="PMingLiU"/>
          <w:szCs w:val="21"/>
          <w:lang w:eastAsia="zh-TW"/>
        </w:rPr>
        <w:t>We have the following proposal</w:t>
      </w:r>
      <w:r w:rsidR="00695105">
        <w:rPr>
          <w:rFonts w:eastAsia="PMingLiU"/>
          <w:szCs w:val="21"/>
          <w:lang w:eastAsia="zh-TW"/>
        </w:rPr>
        <w:t xml:space="preserve"> and observation</w:t>
      </w:r>
      <w:r w:rsidR="00D10B55">
        <w:rPr>
          <w:rFonts w:eastAsia="PMingLiU"/>
          <w:szCs w:val="21"/>
          <w:lang w:eastAsia="zh-TW"/>
        </w:rPr>
        <w:t xml:space="preserve"> for clarifying the definitions of the concepts:</w:t>
      </w:r>
    </w:p>
    <w:p w:rsidR="009A20F2" w:rsidRDefault="009A20F2" w:rsidP="009A20F2">
      <w:pPr>
        <w:jc w:val="both"/>
        <w:rPr>
          <w:rFonts w:eastAsiaTheme="minorEastAsia"/>
          <w:b/>
          <w:i/>
          <w:szCs w:val="20"/>
        </w:rPr>
      </w:pPr>
      <w:r>
        <w:rPr>
          <w:rFonts w:eastAsiaTheme="minorEastAsia"/>
          <w:b/>
          <w:i/>
          <w:szCs w:val="20"/>
        </w:rPr>
        <w:t xml:space="preserve">Observation 1: In bandwidth adaptation scenarios, when the bandwidth of the UE is smaller than that of the to-be-measured band, </w:t>
      </w:r>
      <w:r w:rsidRPr="004E63E5">
        <w:rPr>
          <w:rFonts w:eastAsiaTheme="minorEastAsia"/>
          <w:b/>
          <w:i/>
          <w:szCs w:val="20"/>
        </w:rPr>
        <w:t xml:space="preserve">intra-frequency measurements </w:t>
      </w:r>
      <w:r>
        <w:rPr>
          <w:rFonts w:eastAsiaTheme="minorEastAsia"/>
          <w:b/>
          <w:i/>
          <w:szCs w:val="20"/>
        </w:rPr>
        <w:t xml:space="preserve">may </w:t>
      </w:r>
      <w:r w:rsidRPr="004E63E5">
        <w:rPr>
          <w:rFonts w:eastAsiaTheme="minorEastAsia"/>
          <w:b/>
          <w:i/>
          <w:szCs w:val="20"/>
        </w:rPr>
        <w:t>need measurement gaps.</w:t>
      </w:r>
    </w:p>
    <w:p w:rsidR="009A20F2" w:rsidRDefault="009A20F2" w:rsidP="009A20F2">
      <w:pPr>
        <w:jc w:val="both"/>
        <w:rPr>
          <w:lang w:eastAsia="zh-TW"/>
        </w:rPr>
      </w:pPr>
      <w:r>
        <w:rPr>
          <w:rFonts w:eastAsiaTheme="minorEastAsia"/>
          <w:b/>
          <w:i/>
          <w:szCs w:val="20"/>
        </w:rPr>
        <w:t xml:space="preserve">Observation 2: In bandwidth adaptation scenarios, when the carrier frequency of the UE is different from that of the to-be-measured band, </w:t>
      </w:r>
      <w:r w:rsidRPr="004E63E5">
        <w:rPr>
          <w:rFonts w:eastAsiaTheme="minorEastAsia"/>
          <w:b/>
          <w:i/>
          <w:szCs w:val="20"/>
        </w:rPr>
        <w:t xml:space="preserve">intra-frequency measurements </w:t>
      </w:r>
      <w:r>
        <w:rPr>
          <w:rFonts w:eastAsiaTheme="minorEastAsia"/>
          <w:b/>
          <w:i/>
          <w:szCs w:val="20"/>
        </w:rPr>
        <w:t xml:space="preserve">may </w:t>
      </w:r>
      <w:r w:rsidRPr="004E63E5">
        <w:rPr>
          <w:rFonts w:eastAsiaTheme="minorEastAsia"/>
          <w:b/>
          <w:i/>
          <w:szCs w:val="20"/>
        </w:rPr>
        <w:t xml:space="preserve">need measurement gaps.  </w:t>
      </w:r>
    </w:p>
    <w:p w:rsidR="00F82AB9" w:rsidRPr="00F82AB9" w:rsidRDefault="00F82AB9" w:rsidP="00F82AB9">
      <w:pPr>
        <w:rPr>
          <w:rFonts w:eastAsiaTheme="minorEastAsia"/>
        </w:rPr>
      </w:pPr>
      <w:r w:rsidRPr="004E63E5">
        <w:rPr>
          <w:b/>
          <w:i/>
          <w:szCs w:val="20"/>
        </w:rPr>
        <w:t>Proposal 1: Define intra-frequency, inter-frequency, and inter-RAT measurement</w:t>
      </w:r>
      <w:r>
        <w:rPr>
          <w:b/>
          <w:i/>
          <w:szCs w:val="20"/>
        </w:rPr>
        <w:t>s</w:t>
      </w:r>
      <w:r w:rsidRPr="004E63E5">
        <w:rPr>
          <w:b/>
          <w:i/>
          <w:szCs w:val="20"/>
        </w:rPr>
        <w:t xml:space="preserve"> from </w:t>
      </w:r>
      <w:r>
        <w:rPr>
          <w:b/>
          <w:i/>
          <w:szCs w:val="20"/>
        </w:rPr>
        <w:t>the</w:t>
      </w:r>
      <w:r w:rsidRPr="004E63E5">
        <w:rPr>
          <w:b/>
          <w:i/>
          <w:szCs w:val="20"/>
        </w:rPr>
        <w:t xml:space="preserve"> </w:t>
      </w:r>
      <w:proofErr w:type="spellStart"/>
      <w:r>
        <w:rPr>
          <w:b/>
          <w:i/>
          <w:szCs w:val="20"/>
        </w:rPr>
        <w:t>gNB’s</w:t>
      </w:r>
      <w:proofErr w:type="spellEnd"/>
      <w:r>
        <w:rPr>
          <w:b/>
          <w:i/>
          <w:szCs w:val="20"/>
        </w:rPr>
        <w:t xml:space="preserve"> perspective, and decouple the definitions with discussions on the necessity of measurement gaps.   </w:t>
      </w:r>
      <w:r w:rsidRPr="004E63E5">
        <w:rPr>
          <w:b/>
          <w:i/>
          <w:szCs w:val="20"/>
        </w:rPr>
        <w:t xml:space="preserve">   </w:t>
      </w:r>
    </w:p>
    <w:p w:rsidR="009A20F2" w:rsidRDefault="009A20F2" w:rsidP="009A20F2">
      <w:pPr>
        <w:jc w:val="both"/>
        <w:rPr>
          <w:rFonts w:eastAsiaTheme="minorEastAsia"/>
          <w:b/>
          <w:i/>
          <w:szCs w:val="20"/>
        </w:rPr>
      </w:pPr>
      <w:r>
        <w:rPr>
          <w:rFonts w:eastAsiaTheme="minorEastAsia"/>
          <w:b/>
          <w:i/>
          <w:szCs w:val="20"/>
        </w:rPr>
        <w:t>Proposal 2</w:t>
      </w:r>
      <w:r w:rsidRPr="00484A02">
        <w:rPr>
          <w:rFonts w:eastAsiaTheme="minorEastAsia"/>
          <w:b/>
          <w:i/>
          <w:szCs w:val="20"/>
        </w:rPr>
        <w:t xml:space="preserve">: Do not preclude measurement gaps for intra-frequency measurement at the current stage. </w:t>
      </w:r>
    </w:p>
    <w:p w:rsidR="00F82AB9" w:rsidRPr="00484A02" w:rsidRDefault="00F82AB9" w:rsidP="009A20F2">
      <w:pPr>
        <w:jc w:val="both"/>
        <w:rPr>
          <w:rFonts w:eastAsiaTheme="minorEastAsia"/>
          <w:b/>
          <w:i/>
          <w:szCs w:val="20"/>
        </w:rPr>
      </w:pPr>
      <w:r w:rsidRPr="002D201A">
        <w:rPr>
          <w:rFonts w:eastAsiaTheme="minorEastAsia"/>
          <w:b/>
          <w:i/>
          <w:szCs w:val="20"/>
        </w:rPr>
        <w:t>Pro</w:t>
      </w:r>
      <w:r>
        <w:rPr>
          <w:rFonts w:eastAsiaTheme="minorEastAsia"/>
          <w:b/>
          <w:i/>
          <w:szCs w:val="20"/>
        </w:rPr>
        <w:t>posal 3</w:t>
      </w:r>
      <w:r w:rsidRPr="002D201A">
        <w:rPr>
          <w:rFonts w:eastAsiaTheme="minorEastAsia"/>
          <w:b/>
          <w:i/>
          <w:szCs w:val="20"/>
        </w:rPr>
        <w:t xml:space="preserve">: RAN4 needs to investigate whether there </w:t>
      </w:r>
      <w:proofErr w:type="gramStart"/>
      <w:r w:rsidRPr="002D201A">
        <w:rPr>
          <w:rFonts w:eastAsiaTheme="minorEastAsia"/>
          <w:b/>
          <w:i/>
          <w:szCs w:val="20"/>
        </w:rPr>
        <w:t>exists</w:t>
      </w:r>
      <w:proofErr w:type="gramEnd"/>
      <w:r w:rsidRPr="002D201A">
        <w:rPr>
          <w:rFonts w:eastAsiaTheme="minorEastAsia"/>
          <w:b/>
          <w:i/>
          <w:szCs w:val="20"/>
        </w:rPr>
        <w:t xml:space="preserve"> the case where LTE and NR share the same carrier frequency.  </w:t>
      </w:r>
    </w:p>
    <w:p w:rsidR="00D733BA" w:rsidRPr="00D25E75" w:rsidRDefault="00B629B5" w:rsidP="00D25E75">
      <w:pPr>
        <w:pStyle w:val="Heading1"/>
        <w:tabs>
          <w:tab w:val="num" w:pos="567"/>
        </w:tabs>
        <w:ind w:left="567" w:hanging="567"/>
        <w:rPr>
          <w:rFonts w:ascii="Times New Roman Bold" w:eastAsia="宋体" w:hAnsi="Times New Roman Bold"/>
        </w:rPr>
      </w:pPr>
      <w:r w:rsidRPr="00D25E75">
        <w:rPr>
          <w:rFonts w:ascii="Times New Roman Bold" w:eastAsia="宋体" w:hAnsi="Times New Roman Bold"/>
        </w:rPr>
        <w:t>4</w:t>
      </w:r>
      <w:r w:rsidR="005D047B" w:rsidRPr="00D25E75">
        <w:rPr>
          <w:rFonts w:ascii="Times New Roman Bold" w:eastAsia="宋体" w:hAnsi="Times New Roman Bold" w:hint="eastAsia"/>
        </w:rPr>
        <w:t xml:space="preserve">. </w:t>
      </w:r>
      <w:r w:rsidR="001271D6" w:rsidRPr="00D25E75">
        <w:rPr>
          <w:rFonts w:ascii="Times New Roman Bold" w:eastAsia="宋体" w:hAnsi="Times New Roman Bold"/>
        </w:rPr>
        <w:t>References</w:t>
      </w:r>
    </w:p>
    <w:p w:rsidR="00027E0D" w:rsidRPr="00027E0D" w:rsidRDefault="00027E0D" w:rsidP="004E63E5">
      <w:pPr>
        <w:pStyle w:val="ListParagraph"/>
        <w:numPr>
          <w:ilvl w:val="0"/>
          <w:numId w:val="9"/>
        </w:numPr>
        <w:rPr>
          <w:color w:val="000000" w:themeColor="text1"/>
          <w:lang w:eastAsia="ko-KR"/>
        </w:rPr>
      </w:pPr>
      <w:r w:rsidRPr="004E63E5">
        <w:rPr>
          <w:color w:val="000000" w:themeColor="text1"/>
          <w:lang w:eastAsia="ko-KR"/>
        </w:rPr>
        <w:t>R4-1706314</w:t>
      </w:r>
      <w:r>
        <w:rPr>
          <w:color w:val="000000" w:themeColor="text1"/>
          <w:lang w:eastAsia="ko-KR"/>
        </w:rPr>
        <w:t>,</w:t>
      </w:r>
      <w:r w:rsidRPr="004E63E5">
        <w:rPr>
          <w:color w:val="000000" w:themeColor="text1"/>
          <w:lang w:eastAsia="ko-KR"/>
        </w:rPr>
        <w:t xml:space="preserve"> NR RRM </w:t>
      </w:r>
      <w:bookmarkStart w:id="4" w:name="OLE_LINK10"/>
      <w:bookmarkStart w:id="5" w:name="OLE_LINK12"/>
      <w:r w:rsidRPr="004E63E5">
        <w:rPr>
          <w:color w:val="000000" w:themeColor="text1"/>
          <w:lang w:eastAsia="ko-KR"/>
        </w:rPr>
        <w:t xml:space="preserve">ad hoc </w:t>
      </w:r>
      <w:bookmarkEnd w:id="4"/>
      <w:bookmarkEnd w:id="5"/>
      <w:r w:rsidRPr="004E63E5">
        <w:rPr>
          <w:color w:val="000000" w:themeColor="text1"/>
          <w:lang w:eastAsia="ko-KR"/>
        </w:rPr>
        <w:t>minutes, Vice Chair (Huawei)</w:t>
      </w:r>
    </w:p>
    <w:p w:rsidR="0095732C" w:rsidRPr="004E63E5" w:rsidRDefault="00B5512C" w:rsidP="004E63E5">
      <w:pPr>
        <w:pStyle w:val="ListParagraph"/>
        <w:numPr>
          <w:ilvl w:val="0"/>
          <w:numId w:val="9"/>
        </w:numPr>
        <w:rPr>
          <w:rFonts w:cs="Batang"/>
        </w:rPr>
      </w:pPr>
      <w:r w:rsidRPr="00B5512C">
        <w:rPr>
          <w:color w:val="000000" w:themeColor="text1"/>
          <w:lang w:eastAsia="ko-KR"/>
        </w:rPr>
        <w:t>R1-1704179 (R4-1702029), Reply LS on UE RF Bandwidth Adaptation in NR, RAN4</w:t>
      </w:r>
    </w:p>
    <w:p w:rsidR="00A925EA" w:rsidRPr="00CC634D" w:rsidRDefault="00A925EA" w:rsidP="004E63E5">
      <w:pPr>
        <w:rPr>
          <w:lang w:val="en-GB" w:eastAsia="zh-CN"/>
        </w:rPr>
      </w:pPr>
    </w:p>
    <w:sectPr w:rsidR="00A925EA" w:rsidRPr="00CC634D"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2E3" w:rsidRPr="004E3B67" w:rsidRDefault="009A12E3" w:rsidP="00DA44AD">
      <w:pPr>
        <w:rPr>
          <w:rFonts w:eastAsia="宋体" w:cs="Arial"/>
          <w:color w:val="0000FF"/>
          <w:kern w:val="2"/>
          <w:lang w:eastAsia="zh-CN"/>
        </w:rPr>
      </w:pPr>
      <w:r>
        <w:separator/>
      </w:r>
    </w:p>
  </w:endnote>
  <w:endnote w:type="continuationSeparator" w:id="0">
    <w:p w:rsidR="009A12E3" w:rsidRPr="004E3B67" w:rsidRDefault="009A12E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9B771B">
    <w:pPr>
      <w:pStyle w:val="Footer"/>
      <w:jc w:val="center"/>
    </w:pPr>
    <w:r>
      <w:fldChar w:fldCharType="begin"/>
    </w:r>
    <w:r w:rsidR="00B36480">
      <w:instrText xml:space="preserve"> PAGE   \* MERGEFORMAT </w:instrText>
    </w:r>
    <w:r>
      <w:fldChar w:fldCharType="separate"/>
    </w:r>
    <w:r w:rsidR="00494DD7" w:rsidRPr="00494DD7">
      <w:rPr>
        <w:rFonts w:eastAsia="PMingLiU"/>
        <w:noProof/>
        <w:lang w:val="zh-CN" w:eastAsia="zh-TW"/>
      </w:rPr>
      <w:t>1</w:t>
    </w:r>
    <w:r>
      <w:rPr>
        <w:noProof/>
        <w:lang w:val="zh-CN"/>
      </w:rPr>
      <w:fldChar w:fldCharType="end"/>
    </w:r>
  </w:p>
  <w:p w:rsidR="00B36480" w:rsidRDefault="00B364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2E3" w:rsidRPr="004E3B67" w:rsidRDefault="009A12E3" w:rsidP="00DA44AD">
      <w:pPr>
        <w:rPr>
          <w:rFonts w:eastAsia="宋体" w:cs="Arial"/>
          <w:color w:val="0000FF"/>
          <w:kern w:val="2"/>
          <w:lang w:eastAsia="zh-CN"/>
        </w:rPr>
      </w:pPr>
      <w:r>
        <w:separator/>
      </w:r>
    </w:p>
  </w:footnote>
  <w:footnote w:type="continuationSeparator" w:id="0">
    <w:p w:rsidR="009A12E3" w:rsidRPr="004E3B67" w:rsidRDefault="009A12E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6480" w:rsidRDefault="00B36480"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3062D"/>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6D2364"/>
    <w:multiLevelType w:val="multilevel"/>
    <w:tmpl w:val="E9AC33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A50FBE"/>
    <w:multiLevelType w:val="hybridMultilevel"/>
    <w:tmpl w:val="852A2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D7CCC"/>
    <w:multiLevelType w:val="hybridMultilevel"/>
    <w:tmpl w:val="C1D48A4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0">
    <w:nsid w:val="2BE4772C"/>
    <w:multiLevelType w:val="multilevel"/>
    <w:tmpl w:val="3D3ED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E57AA0"/>
    <w:multiLevelType w:val="hybridMultilevel"/>
    <w:tmpl w:val="491042EE"/>
    <w:lvl w:ilvl="0" w:tplc="1ECCEEF8">
      <w:start w:val="1"/>
      <w:numFmt w:val="bullet"/>
      <w:lvlText w:val="–"/>
      <w:lvlJc w:val="left"/>
      <w:pPr>
        <w:tabs>
          <w:tab w:val="num" w:pos="360"/>
        </w:tabs>
        <w:ind w:left="360" w:hanging="360"/>
      </w:pPr>
      <w:rPr>
        <w:rFonts w:ascii="Arial" w:hAnsi="Arial" w:hint="default"/>
      </w:rPr>
    </w:lvl>
    <w:lvl w:ilvl="1" w:tplc="57B0519E">
      <w:start w:val="1"/>
      <w:numFmt w:val="bullet"/>
      <w:lvlText w:val="–"/>
      <w:lvlJc w:val="left"/>
      <w:pPr>
        <w:tabs>
          <w:tab w:val="num" w:pos="1080"/>
        </w:tabs>
        <w:ind w:left="1080" w:hanging="360"/>
      </w:pPr>
      <w:rPr>
        <w:rFonts w:ascii="Arial" w:hAnsi="Arial" w:hint="default"/>
      </w:rPr>
    </w:lvl>
    <w:lvl w:ilvl="2" w:tplc="81066270">
      <w:start w:val="4068"/>
      <w:numFmt w:val="bullet"/>
      <w:lvlText w:val="•"/>
      <w:lvlJc w:val="left"/>
      <w:pPr>
        <w:tabs>
          <w:tab w:val="num" w:pos="1800"/>
        </w:tabs>
        <w:ind w:left="1800" w:hanging="360"/>
      </w:pPr>
      <w:rPr>
        <w:rFonts w:ascii="Arial" w:hAnsi="Arial" w:hint="default"/>
      </w:rPr>
    </w:lvl>
    <w:lvl w:ilvl="3" w:tplc="E2D8FF1C">
      <w:start w:val="4068"/>
      <w:numFmt w:val="bullet"/>
      <w:lvlText w:val="–"/>
      <w:lvlJc w:val="left"/>
      <w:pPr>
        <w:tabs>
          <w:tab w:val="num" w:pos="2520"/>
        </w:tabs>
        <w:ind w:left="2520" w:hanging="360"/>
      </w:pPr>
      <w:rPr>
        <w:rFonts w:ascii="Arial" w:hAnsi="Arial" w:hint="default"/>
      </w:rPr>
    </w:lvl>
    <w:lvl w:ilvl="4" w:tplc="8EF26594" w:tentative="1">
      <w:start w:val="1"/>
      <w:numFmt w:val="bullet"/>
      <w:lvlText w:val="–"/>
      <w:lvlJc w:val="left"/>
      <w:pPr>
        <w:tabs>
          <w:tab w:val="num" w:pos="3240"/>
        </w:tabs>
        <w:ind w:left="3240" w:hanging="360"/>
      </w:pPr>
      <w:rPr>
        <w:rFonts w:ascii="Arial" w:hAnsi="Arial" w:hint="default"/>
      </w:rPr>
    </w:lvl>
    <w:lvl w:ilvl="5" w:tplc="629A0B70" w:tentative="1">
      <w:start w:val="1"/>
      <w:numFmt w:val="bullet"/>
      <w:lvlText w:val="–"/>
      <w:lvlJc w:val="left"/>
      <w:pPr>
        <w:tabs>
          <w:tab w:val="num" w:pos="3960"/>
        </w:tabs>
        <w:ind w:left="3960" w:hanging="360"/>
      </w:pPr>
      <w:rPr>
        <w:rFonts w:ascii="Arial" w:hAnsi="Arial" w:hint="default"/>
      </w:rPr>
    </w:lvl>
    <w:lvl w:ilvl="6" w:tplc="202EFD9C" w:tentative="1">
      <w:start w:val="1"/>
      <w:numFmt w:val="bullet"/>
      <w:lvlText w:val="–"/>
      <w:lvlJc w:val="left"/>
      <w:pPr>
        <w:tabs>
          <w:tab w:val="num" w:pos="4680"/>
        </w:tabs>
        <w:ind w:left="4680" w:hanging="360"/>
      </w:pPr>
      <w:rPr>
        <w:rFonts w:ascii="Arial" w:hAnsi="Arial" w:hint="default"/>
      </w:rPr>
    </w:lvl>
    <w:lvl w:ilvl="7" w:tplc="EB769E84" w:tentative="1">
      <w:start w:val="1"/>
      <w:numFmt w:val="bullet"/>
      <w:lvlText w:val="–"/>
      <w:lvlJc w:val="left"/>
      <w:pPr>
        <w:tabs>
          <w:tab w:val="num" w:pos="5400"/>
        </w:tabs>
        <w:ind w:left="5400" w:hanging="360"/>
      </w:pPr>
      <w:rPr>
        <w:rFonts w:ascii="Arial" w:hAnsi="Arial" w:hint="default"/>
      </w:rPr>
    </w:lvl>
    <w:lvl w:ilvl="8" w:tplc="CA326542" w:tentative="1">
      <w:start w:val="1"/>
      <w:numFmt w:val="bullet"/>
      <w:lvlText w:val="–"/>
      <w:lvlJc w:val="left"/>
      <w:pPr>
        <w:tabs>
          <w:tab w:val="num" w:pos="6120"/>
        </w:tabs>
        <w:ind w:left="6120" w:hanging="360"/>
      </w:pPr>
      <w:rPr>
        <w:rFonts w:ascii="Arial" w:hAnsi="Arial" w:hint="default"/>
      </w:rPr>
    </w:lvl>
  </w:abstractNum>
  <w:abstractNum w:abstractNumId="12">
    <w:nsid w:val="30057800"/>
    <w:multiLevelType w:val="hybridMultilevel"/>
    <w:tmpl w:val="F62230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nsid w:val="3FA61176"/>
    <w:multiLevelType w:val="multilevel"/>
    <w:tmpl w:val="15DCE3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nsid w:val="4AC417E3"/>
    <w:multiLevelType w:val="multilevel"/>
    <w:tmpl w:val="3EB4D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197488B"/>
    <w:multiLevelType w:val="multilevel"/>
    <w:tmpl w:val="648CB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63A4775"/>
    <w:multiLevelType w:val="hybridMultilevel"/>
    <w:tmpl w:val="270EBA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BE497D"/>
    <w:multiLevelType w:val="multilevel"/>
    <w:tmpl w:val="C226E10C"/>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ED18BC"/>
    <w:multiLevelType w:val="multilevel"/>
    <w:tmpl w:val="0D0A88C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7"/>
  </w:num>
  <w:num w:numId="3">
    <w:abstractNumId w:val="25"/>
  </w:num>
  <w:num w:numId="4">
    <w:abstractNumId w:val="17"/>
  </w:num>
  <w:num w:numId="5">
    <w:abstractNumId w:val="26"/>
  </w:num>
  <w:num w:numId="6">
    <w:abstractNumId w:val="19"/>
  </w:num>
  <w:num w:numId="7">
    <w:abstractNumId w:val="16"/>
  </w:num>
  <w:num w:numId="8">
    <w:abstractNumId w:val="24"/>
  </w:num>
  <w:num w:numId="9">
    <w:abstractNumId w:val="3"/>
  </w:num>
  <w:num w:numId="10">
    <w:abstractNumId w:val="15"/>
  </w:num>
  <w:num w:numId="11">
    <w:abstractNumId w:val="6"/>
  </w:num>
  <w:num w:numId="12">
    <w:abstractNumId w:val="4"/>
  </w:num>
  <w:num w:numId="13">
    <w:abstractNumId w:val="13"/>
  </w:num>
  <w:num w:numId="14">
    <w:abstractNumId w:val="0"/>
  </w:num>
  <w:num w:numId="15">
    <w:abstractNumId w:val="28"/>
  </w:num>
  <w:num w:numId="16">
    <w:abstractNumId w:val="9"/>
  </w:num>
  <w:num w:numId="17">
    <w:abstractNumId w:val="11"/>
  </w:num>
  <w:num w:numId="18">
    <w:abstractNumId w:val="28"/>
  </w:num>
  <w:num w:numId="19">
    <w:abstractNumId w:val="28"/>
  </w:num>
  <w:num w:numId="20">
    <w:abstractNumId w:val="28"/>
  </w:num>
  <w:num w:numId="21">
    <w:abstractNumId w:val="28"/>
  </w:num>
  <w:num w:numId="22">
    <w:abstractNumId w:val="28"/>
  </w:num>
  <w:num w:numId="23">
    <w:abstractNumId w:val="14"/>
  </w:num>
  <w:num w:numId="24">
    <w:abstractNumId w:val="18"/>
  </w:num>
  <w:num w:numId="25">
    <w:abstractNumId w:val="21"/>
  </w:num>
  <w:num w:numId="26">
    <w:abstractNumId w:val="5"/>
  </w:num>
  <w:num w:numId="27">
    <w:abstractNumId w:val="20"/>
    <w:lvlOverride w:ilvl="0">
      <w:startOverride w:val="4"/>
    </w:lvlOverride>
  </w:num>
  <w:num w:numId="28">
    <w:abstractNumId w:val="1"/>
  </w:num>
  <w:num w:numId="29">
    <w:abstractNumId w:val="2"/>
  </w:num>
  <w:num w:numId="30">
    <w:abstractNumId w:val="23"/>
    <w:lvlOverride w:ilvl="0">
      <w:startOverride w:val="1"/>
    </w:lvlOverride>
  </w:num>
  <w:num w:numId="31">
    <w:abstractNumId w:val="10"/>
    <w:lvlOverride w:ilvl="0">
      <w:startOverride w:val="2"/>
    </w:lvlOverride>
  </w:num>
  <w:num w:numId="32">
    <w:abstractNumId w:val="7"/>
  </w:num>
  <w:num w:numId="33">
    <w:abstractNumId w:val="12"/>
  </w:num>
  <w:num w:numId="34">
    <w:abstractNumId w:val="22"/>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B3"/>
    <w:rsid w:val="00002B4D"/>
    <w:rsid w:val="00004FAF"/>
    <w:rsid w:val="000052A4"/>
    <w:rsid w:val="00006863"/>
    <w:rsid w:val="00012308"/>
    <w:rsid w:val="00012666"/>
    <w:rsid w:val="00012987"/>
    <w:rsid w:val="000131F1"/>
    <w:rsid w:val="000135B8"/>
    <w:rsid w:val="00013A47"/>
    <w:rsid w:val="00014334"/>
    <w:rsid w:val="00014829"/>
    <w:rsid w:val="00015683"/>
    <w:rsid w:val="00017299"/>
    <w:rsid w:val="00017839"/>
    <w:rsid w:val="0002245D"/>
    <w:rsid w:val="00022B41"/>
    <w:rsid w:val="00024882"/>
    <w:rsid w:val="00025CE8"/>
    <w:rsid w:val="00025DAB"/>
    <w:rsid w:val="00026EC9"/>
    <w:rsid w:val="00027579"/>
    <w:rsid w:val="00027DA7"/>
    <w:rsid w:val="00027E0D"/>
    <w:rsid w:val="00030074"/>
    <w:rsid w:val="000324EE"/>
    <w:rsid w:val="0003256F"/>
    <w:rsid w:val="00036E6B"/>
    <w:rsid w:val="0003706E"/>
    <w:rsid w:val="000401E8"/>
    <w:rsid w:val="00041A67"/>
    <w:rsid w:val="000427BC"/>
    <w:rsid w:val="00043AAA"/>
    <w:rsid w:val="00044463"/>
    <w:rsid w:val="0004452A"/>
    <w:rsid w:val="0004460D"/>
    <w:rsid w:val="00044CD3"/>
    <w:rsid w:val="00045240"/>
    <w:rsid w:val="000465CA"/>
    <w:rsid w:val="00047242"/>
    <w:rsid w:val="000477B2"/>
    <w:rsid w:val="00050910"/>
    <w:rsid w:val="0005125B"/>
    <w:rsid w:val="000514AB"/>
    <w:rsid w:val="000514FB"/>
    <w:rsid w:val="000525B3"/>
    <w:rsid w:val="0005280A"/>
    <w:rsid w:val="00052FE5"/>
    <w:rsid w:val="00053C1F"/>
    <w:rsid w:val="0005446A"/>
    <w:rsid w:val="000572F3"/>
    <w:rsid w:val="00057F9C"/>
    <w:rsid w:val="000626E6"/>
    <w:rsid w:val="00063A25"/>
    <w:rsid w:val="00063BA0"/>
    <w:rsid w:val="00065CA2"/>
    <w:rsid w:val="00065DE8"/>
    <w:rsid w:val="00072B2D"/>
    <w:rsid w:val="0007409D"/>
    <w:rsid w:val="0007466B"/>
    <w:rsid w:val="00074991"/>
    <w:rsid w:val="00074E5B"/>
    <w:rsid w:val="00075E52"/>
    <w:rsid w:val="00076CA8"/>
    <w:rsid w:val="00077541"/>
    <w:rsid w:val="00077737"/>
    <w:rsid w:val="00081710"/>
    <w:rsid w:val="00081F39"/>
    <w:rsid w:val="000827DC"/>
    <w:rsid w:val="00083F67"/>
    <w:rsid w:val="000852EC"/>
    <w:rsid w:val="000863FD"/>
    <w:rsid w:val="0009085D"/>
    <w:rsid w:val="00090B38"/>
    <w:rsid w:val="00090D56"/>
    <w:rsid w:val="000915CB"/>
    <w:rsid w:val="00093F87"/>
    <w:rsid w:val="00094655"/>
    <w:rsid w:val="00096219"/>
    <w:rsid w:val="000A11C9"/>
    <w:rsid w:val="000A2482"/>
    <w:rsid w:val="000A2A88"/>
    <w:rsid w:val="000A2B52"/>
    <w:rsid w:val="000A4774"/>
    <w:rsid w:val="000A5C2A"/>
    <w:rsid w:val="000A62A7"/>
    <w:rsid w:val="000A6C3A"/>
    <w:rsid w:val="000A7373"/>
    <w:rsid w:val="000A762A"/>
    <w:rsid w:val="000A78F8"/>
    <w:rsid w:val="000B0235"/>
    <w:rsid w:val="000B378E"/>
    <w:rsid w:val="000B5EC0"/>
    <w:rsid w:val="000B68EF"/>
    <w:rsid w:val="000B77B1"/>
    <w:rsid w:val="000B7DD9"/>
    <w:rsid w:val="000C1DB6"/>
    <w:rsid w:val="000C2832"/>
    <w:rsid w:val="000C2D8C"/>
    <w:rsid w:val="000C37EF"/>
    <w:rsid w:val="000C395A"/>
    <w:rsid w:val="000C3960"/>
    <w:rsid w:val="000C3ECD"/>
    <w:rsid w:val="000C3FE4"/>
    <w:rsid w:val="000C5C2A"/>
    <w:rsid w:val="000C671F"/>
    <w:rsid w:val="000C6906"/>
    <w:rsid w:val="000C7A5A"/>
    <w:rsid w:val="000C7E84"/>
    <w:rsid w:val="000D16AD"/>
    <w:rsid w:val="000D17A1"/>
    <w:rsid w:val="000D27F2"/>
    <w:rsid w:val="000D4FCF"/>
    <w:rsid w:val="000D59D4"/>
    <w:rsid w:val="000E0C49"/>
    <w:rsid w:val="000E0DD4"/>
    <w:rsid w:val="000E25B0"/>
    <w:rsid w:val="000E3923"/>
    <w:rsid w:val="000E54CF"/>
    <w:rsid w:val="000F0055"/>
    <w:rsid w:val="000F1FC4"/>
    <w:rsid w:val="000F257E"/>
    <w:rsid w:val="000F4E20"/>
    <w:rsid w:val="000F4EB4"/>
    <w:rsid w:val="000F640E"/>
    <w:rsid w:val="000F7673"/>
    <w:rsid w:val="000F79FA"/>
    <w:rsid w:val="00102F16"/>
    <w:rsid w:val="001034D2"/>
    <w:rsid w:val="00103927"/>
    <w:rsid w:val="00104193"/>
    <w:rsid w:val="00104C97"/>
    <w:rsid w:val="00105958"/>
    <w:rsid w:val="00105E60"/>
    <w:rsid w:val="0010720C"/>
    <w:rsid w:val="00110623"/>
    <w:rsid w:val="00110693"/>
    <w:rsid w:val="00110903"/>
    <w:rsid w:val="00110FFE"/>
    <w:rsid w:val="00111568"/>
    <w:rsid w:val="00112169"/>
    <w:rsid w:val="00112215"/>
    <w:rsid w:val="001154FA"/>
    <w:rsid w:val="00117040"/>
    <w:rsid w:val="0011785D"/>
    <w:rsid w:val="001208C6"/>
    <w:rsid w:val="00120D99"/>
    <w:rsid w:val="00121558"/>
    <w:rsid w:val="00121879"/>
    <w:rsid w:val="00121F99"/>
    <w:rsid w:val="00124AC6"/>
    <w:rsid w:val="00126982"/>
    <w:rsid w:val="00126F9B"/>
    <w:rsid w:val="001271D6"/>
    <w:rsid w:val="00131476"/>
    <w:rsid w:val="0013170F"/>
    <w:rsid w:val="00132177"/>
    <w:rsid w:val="00134717"/>
    <w:rsid w:val="00135AAE"/>
    <w:rsid w:val="00141310"/>
    <w:rsid w:val="00142F88"/>
    <w:rsid w:val="001440C0"/>
    <w:rsid w:val="00144AAC"/>
    <w:rsid w:val="001453C5"/>
    <w:rsid w:val="00146A33"/>
    <w:rsid w:val="0014790F"/>
    <w:rsid w:val="00147A30"/>
    <w:rsid w:val="00151BF0"/>
    <w:rsid w:val="00154F33"/>
    <w:rsid w:val="0015709B"/>
    <w:rsid w:val="00160393"/>
    <w:rsid w:val="001612C8"/>
    <w:rsid w:val="00162089"/>
    <w:rsid w:val="00163343"/>
    <w:rsid w:val="00163B4B"/>
    <w:rsid w:val="00165384"/>
    <w:rsid w:val="00165467"/>
    <w:rsid w:val="00165996"/>
    <w:rsid w:val="00165AB4"/>
    <w:rsid w:val="001664E6"/>
    <w:rsid w:val="00170984"/>
    <w:rsid w:val="00170CBB"/>
    <w:rsid w:val="00172892"/>
    <w:rsid w:val="001737E8"/>
    <w:rsid w:val="00173B88"/>
    <w:rsid w:val="001806F8"/>
    <w:rsid w:val="001819B5"/>
    <w:rsid w:val="001824EF"/>
    <w:rsid w:val="0018262D"/>
    <w:rsid w:val="00182847"/>
    <w:rsid w:val="00182EAB"/>
    <w:rsid w:val="00183D8D"/>
    <w:rsid w:val="001858BD"/>
    <w:rsid w:val="00185F85"/>
    <w:rsid w:val="0018602E"/>
    <w:rsid w:val="0018630F"/>
    <w:rsid w:val="001906BF"/>
    <w:rsid w:val="00190A74"/>
    <w:rsid w:val="00190B82"/>
    <w:rsid w:val="00193E4B"/>
    <w:rsid w:val="00194718"/>
    <w:rsid w:val="0019559D"/>
    <w:rsid w:val="00195640"/>
    <w:rsid w:val="00195B6F"/>
    <w:rsid w:val="0019643A"/>
    <w:rsid w:val="00196C84"/>
    <w:rsid w:val="001A03B2"/>
    <w:rsid w:val="001A097D"/>
    <w:rsid w:val="001A2597"/>
    <w:rsid w:val="001A456B"/>
    <w:rsid w:val="001A46E0"/>
    <w:rsid w:val="001A62E2"/>
    <w:rsid w:val="001A69C4"/>
    <w:rsid w:val="001A7B13"/>
    <w:rsid w:val="001B0921"/>
    <w:rsid w:val="001B0DFF"/>
    <w:rsid w:val="001B0E49"/>
    <w:rsid w:val="001B161F"/>
    <w:rsid w:val="001B25C4"/>
    <w:rsid w:val="001B3135"/>
    <w:rsid w:val="001B5AEE"/>
    <w:rsid w:val="001B5CEE"/>
    <w:rsid w:val="001B624F"/>
    <w:rsid w:val="001C0E30"/>
    <w:rsid w:val="001C1228"/>
    <w:rsid w:val="001C1820"/>
    <w:rsid w:val="001C2A58"/>
    <w:rsid w:val="001C2C6E"/>
    <w:rsid w:val="001C3DBD"/>
    <w:rsid w:val="001C5E45"/>
    <w:rsid w:val="001C624F"/>
    <w:rsid w:val="001C6B8F"/>
    <w:rsid w:val="001D3B58"/>
    <w:rsid w:val="001D3CFE"/>
    <w:rsid w:val="001D6918"/>
    <w:rsid w:val="001E04F5"/>
    <w:rsid w:val="001F0549"/>
    <w:rsid w:val="001F0E70"/>
    <w:rsid w:val="001F4C3F"/>
    <w:rsid w:val="001F65A4"/>
    <w:rsid w:val="002003A5"/>
    <w:rsid w:val="00202846"/>
    <w:rsid w:val="002038D1"/>
    <w:rsid w:val="0020392E"/>
    <w:rsid w:val="002068C6"/>
    <w:rsid w:val="00211D2B"/>
    <w:rsid w:val="002125FE"/>
    <w:rsid w:val="002150C9"/>
    <w:rsid w:val="002171B1"/>
    <w:rsid w:val="002207AE"/>
    <w:rsid w:val="00220A03"/>
    <w:rsid w:val="00221506"/>
    <w:rsid w:val="002221D1"/>
    <w:rsid w:val="00223956"/>
    <w:rsid w:val="00225091"/>
    <w:rsid w:val="002256B5"/>
    <w:rsid w:val="00227C62"/>
    <w:rsid w:val="00230538"/>
    <w:rsid w:val="00230A05"/>
    <w:rsid w:val="00230E60"/>
    <w:rsid w:val="002312C1"/>
    <w:rsid w:val="00231315"/>
    <w:rsid w:val="00231839"/>
    <w:rsid w:val="00231E89"/>
    <w:rsid w:val="00232498"/>
    <w:rsid w:val="002345F1"/>
    <w:rsid w:val="00234C19"/>
    <w:rsid w:val="00235B8C"/>
    <w:rsid w:val="00236909"/>
    <w:rsid w:val="00236E1A"/>
    <w:rsid w:val="002373B3"/>
    <w:rsid w:val="00237533"/>
    <w:rsid w:val="002404D9"/>
    <w:rsid w:val="002410D7"/>
    <w:rsid w:val="002425AB"/>
    <w:rsid w:val="002426D0"/>
    <w:rsid w:val="00242A8C"/>
    <w:rsid w:val="002430E3"/>
    <w:rsid w:val="00243A8B"/>
    <w:rsid w:val="00243E73"/>
    <w:rsid w:val="00244E81"/>
    <w:rsid w:val="00244F81"/>
    <w:rsid w:val="00245927"/>
    <w:rsid w:val="00245F2B"/>
    <w:rsid w:val="002461F2"/>
    <w:rsid w:val="00246F71"/>
    <w:rsid w:val="0024789A"/>
    <w:rsid w:val="00247FF6"/>
    <w:rsid w:val="00250627"/>
    <w:rsid w:val="0025123E"/>
    <w:rsid w:val="00251A31"/>
    <w:rsid w:val="00253DB6"/>
    <w:rsid w:val="00253E11"/>
    <w:rsid w:val="00253EB0"/>
    <w:rsid w:val="00256F2C"/>
    <w:rsid w:val="00257B5E"/>
    <w:rsid w:val="00257F96"/>
    <w:rsid w:val="00261DB0"/>
    <w:rsid w:val="00264344"/>
    <w:rsid w:val="002644F0"/>
    <w:rsid w:val="00266F10"/>
    <w:rsid w:val="002671C3"/>
    <w:rsid w:val="00267218"/>
    <w:rsid w:val="00267DBE"/>
    <w:rsid w:val="00267F09"/>
    <w:rsid w:val="00270CFC"/>
    <w:rsid w:val="00271638"/>
    <w:rsid w:val="00273B47"/>
    <w:rsid w:val="00273E86"/>
    <w:rsid w:val="0027459B"/>
    <w:rsid w:val="00276288"/>
    <w:rsid w:val="002762C1"/>
    <w:rsid w:val="002762CA"/>
    <w:rsid w:val="002764DE"/>
    <w:rsid w:val="002766D3"/>
    <w:rsid w:val="00277CD4"/>
    <w:rsid w:val="00277ECF"/>
    <w:rsid w:val="00281778"/>
    <w:rsid w:val="00281ADB"/>
    <w:rsid w:val="0028560F"/>
    <w:rsid w:val="00285FF9"/>
    <w:rsid w:val="00286B93"/>
    <w:rsid w:val="002870C0"/>
    <w:rsid w:val="0029167D"/>
    <w:rsid w:val="00291E61"/>
    <w:rsid w:val="00291EAF"/>
    <w:rsid w:val="00292206"/>
    <w:rsid w:val="002932A6"/>
    <w:rsid w:val="00293651"/>
    <w:rsid w:val="00293DED"/>
    <w:rsid w:val="0029480B"/>
    <w:rsid w:val="00295573"/>
    <w:rsid w:val="00295F15"/>
    <w:rsid w:val="00296236"/>
    <w:rsid w:val="00296379"/>
    <w:rsid w:val="00296830"/>
    <w:rsid w:val="00297BA7"/>
    <w:rsid w:val="002A1CF2"/>
    <w:rsid w:val="002A1DDB"/>
    <w:rsid w:val="002A2144"/>
    <w:rsid w:val="002A534A"/>
    <w:rsid w:val="002A56EA"/>
    <w:rsid w:val="002A59CB"/>
    <w:rsid w:val="002A7822"/>
    <w:rsid w:val="002A7EEB"/>
    <w:rsid w:val="002B20FF"/>
    <w:rsid w:val="002B2CB5"/>
    <w:rsid w:val="002B3E57"/>
    <w:rsid w:val="002B4612"/>
    <w:rsid w:val="002B4C00"/>
    <w:rsid w:val="002B4CC0"/>
    <w:rsid w:val="002B4D5D"/>
    <w:rsid w:val="002B4E6F"/>
    <w:rsid w:val="002B6AC5"/>
    <w:rsid w:val="002B6CAD"/>
    <w:rsid w:val="002B6DB5"/>
    <w:rsid w:val="002B7A78"/>
    <w:rsid w:val="002B7B4C"/>
    <w:rsid w:val="002C0DFF"/>
    <w:rsid w:val="002C15A3"/>
    <w:rsid w:val="002C52AB"/>
    <w:rsid w:val="002C77EA"/>
    <w:rsid w:val="002D0174"/>
    <w:rsid w:val="002D05A8"/>
    <w:rsid w:val="002D0BC5"/>
    <w:rsid w:val="002D201A"/>
    <w:rsid w:val="002D25AD"/>
    <w:rsid w:val="002D7EE1"/>
    <w:rsid w:val="002E13DA"/>
    <w:rsid w:val="002E2771"/>
    <w:rsid w:val="002E2D80"/>
    <w:rsid w:val="002E3B49"/>
    <w:rsid w:val="002E485B"/>
    <w:rsid w:val="002E6879"/>
    <w:rsid w:val="002E7499"/>
    <w:rsid w:val="002E7D24"/>
    <w:rsid w:val="002F0F8A"/>
    <w:rsid w:val="002F3252"/>
    <w:rsid w:val="002F47F5"/>
    <w:rsid w:val="002F63FE"/>
    <w:rsid w:val="002F64FE"/>
    <w:rsid w:val="002F68B0"/>
    <w:rsid w:val="00300599"/>
    <w:rsid w:val="00301686"/>
    <w:rsid w:val="00303C73"/>
    <w:rsid w:val="00303D38"/>
    <w:rsid w:val="00304037"/>
    <w:rsid w:val="00304DD4"/>
    <w:rsid w:val="003059DB"/>
    <w:rsid w:val="00310134"/>
    <w:rsid w:val="00311CBC"/>
    <w:rsid w:val="003123B2"/>
    <w:rsid w:val="00313167"/>
    <w:rsid w:val="003144EF"/>
    <w:rsid w:val="00314E74"/>
    <w:rsid w:val="003151F7"/>
    <w:rsid w:val="00317B32"/>
    <w:rsid w:val="00317B74"/>
    <w:rsid w:val="00320012"/>
    <w:rsid w:val="00322F9E"/>
    <w:rsid w:val="003233DF"/>
    <w:rsid w:val="003242B1"/>
    <w:rsid w:val="003256CC"/>
    <w:rsid w:val="00325E4B"/>
    <w:rsid w:val="0032606C"/>
    <w:rsid w:val="00326237"/>
    <w:rsid w:val="003270B6"/>
    <w:rsid w:val="0032763D"/>
    <w:rsid w:val="003278E8"/>
    <w:rsid w:val="00330ABA"/>
    <w:rsid w:val="00332A7E"/>
    <w:rsid w:val="00333934"/>
    <w:rsid w:val="003341B6"/>
    <w:rsid w:val="00335549"/>
    <w:rsid w:val="00335593"/>
    <w:rsid w:val="00336112"/>
    <w:rsid w:val="00336F18"/>
    <w:rsid w:val="003403A6"/>
    <w:rsid w:val="0034164C"/>
    <w:rsid w:val="00341C1C"/>
    <w:rsid w:val="00343999"/>
    <w:rsid w:val="00345A8E"/>
    <w:rsid w:val="003518B3"/>
    <w:rsid w:val="00352398"/>
    <w:rsid w:val="00353F08"/>
    <w:rsid w:val="00354129"/>
    <w:rsid w:val="0035442B"/>
    <w:rsid w:val="003551AD"/>
    <w:rsid w:val="003567DA"/>
    <w:rsid w:val="00356843"/>
    <w:rsid w:val="0036043E"/>
    <w:rsid w:val="00360AC6"/>
    <w:rsid w:val="003615AA"/>
    <w:rsid w:val="00362262"/>
    <w:rsid w:val="0036296A"/>
    <w:rsid w:val="00362DB9"/>
    <w:rsid w:val="00363C7E"/>
    <w:rsid w:val="00365E21"/>
    <w:rsid w:val="00366DCA"/>
    <w:rsid w:val="0037108C"/>
    <w:rsid w:val="0037197B"/>
    <w:rsid w:val="003722A0"/>
    <w:rsid w:val="0037283C"/>
    <w:rsid w:val="0037339E"/>
    <w:rsid w:val="00374761"/>
    <w:rsid w:val="00375A79"/>
    <w:rsid w:val="00375F15"/>
    <w:rsid w:val="003760B5"/>
    <w:rsid w:val="0037694B"/>
    <w:rsid w:val="00376C81"/>
    <w:rsid w:val="00376DCD"/>
    <w:rsid w:val="003776AF"/>
    <w:rsid w:val="0038027B"/>
    <w:rsid w:val="00380957"/>
    <w:rsid w:val="00382756"/>
    <w:rsid w:val="00382D22"/>
    <w:rsid w:val="003841DB"/>
    <w:rsid w:val="00385B4B"/>
    <w:rsid w:val="0038651F"/>
    <w:rsid w:val="00386BAA"/>
    <w:rsid w:val="00386EFE"/>
    <w:rsid w:val="00387760"/>
    <w:rsid w:val="003953B4"/>
    <w:rsid w:val="003A1F0C"/>
    <w:rsid w:val="003A4B32"/>
    <w:rsid w:val="003A6F4D"/>
    <w:rsid w:val="003A759D"/>
    <w:rsid w:val="003A7779"/>
    <w:rsid w:val="003B02B0"/>
    <w:rsid w:val="003B0365"/>
    <w:rsid w:val="003B07F1"/>
    <w:rsid w:val="003B2647"/>
    <w:rsid w:val="003B2DD3"/>
    <w:rsid w:val="003B2F58"/>
    <w:rsid w:val="003B3BAA"/>
    <w:rsid w:val="003B43F9"/>
    <w:rsid w:val="003B4E34"/>
    <w:rsid w:val="003B6D9D"/>
    <w:rsid w:val="003B6E63"/>
    <w:rsid w:val="003C22E1"/>
    <w:rsid w:val="003C358A"/>
    <w:rsid w:val="003C42B7"/>
    <w:rsid w:val="003C44B6"/>
    <w:rsid w:val="003C5B8A"/>
    <w:rsid w:val="003C61A2"/>
    <w:rsid w:val="003C67DC"/>
    <w:rsid w:val="003C6B74"/>
    <w:rsid w:val="003C6DB9"/>
    <w:rsid w:val="003C7AE3"/>
    <w:rsid w:val="003D031F"/>
    <w:rsid w:val="003D0669"/>
    <w:rsid w:val="003D0BDA"/>
    <w:rsid w:val="003D138D"/>
    <w:rsid w:val="003D4DD9"/>
    <w:rsid w:val="003D58C7"/>
    <w:rsid w:val="003D5935"/>
    <w:rsid w:val="003D5A73"/>
    <w:rsid w:val="003D79E9"/>
    <w:rsid w:val="003D7AEE"/>
    <w:rsid w:val="003E2119"/>
    <w:rsid w:val="003E2586"/>
    <w:rsid w:val="003E309C"/>
    <w:rsid w:val="003E3160"/>
    <w:rsid w:val="003E502F"/>
    <w:rsid w:val="003E5080"/>
    <w:rsid w:val="003E522C"/>
    <w:rsid w:val="003E6485"/>
    <w:rsid w:val="003F07A7"/>
    <w:rsid w:val="003F1F25"/>
    <w:rsid w:val="003F3AE6"/>
    <w:rsid w:val="003F3FFE"/>
    <w:rsid w:val="003F661B"/>
    <w:rsid w:val="003F6626"/>
    <w:rsid w:val="0040126B"/>
    <w:rsid w:val="00401E59"/>
    <w:rsid w:val="004020B0"/>
    <w:rsid w:val="0040362C"/>
    <w:rsid w:val="00404126"/>
    <w:rsid w:val="00404178"/>
    <w:rsid w:val="00404C89"/>
    <w:rsid w:val="0040538B"/>
    <w:rsid w:val="0040548E"/>
    <w:rsid w:val="004061DA"/>
    <w:rsid w:val="004061E6"/>
    <w:rsid w:val="004067CF"/>
    <w:rsid w:val="00407291"/>
    <w:rsid w:val="00410CAB"/>
    <w:rsid w:val="00411520"/>
    <w:rsid w:val="00413028"/>
    <w:rsid w:val="00413706"/>
    <w:rsid w:val="0041424A"/>
    <w:rsid w:val="00414499"/>
    <w:rsid w:val="00414BEA"/>
    <w:rsid w:val="00415E96"/>
    <w:rsid w:val="00415F00"/>
    <w:rsid w:val="004256E9"/>
    <w:rsid w:val="0042594E"/>
    <w:rsid w:val="00425AE8"/>
    <w:rsid w:val="00425CF4"/>
    <w:rsid w:val="0042738F"/>
    <w:rsid w:val="004276FF"/>
    <w:rsid w:val="00427C17"/>
    <w:rsid w:val="004301EB"/>
    <w:rsid w:val="00430352"/>
    <w:rsid w:val="00430AC9"/>
    <w:rsid w:val="00431725"/>
    <w:rsid w:val="00432A8C"/>
    <w:rsid w:val="00435A38"/>
    <w:rsid w:val="00436CDF"/>
    <w:rsid w:val="00437559"/>
    <w:rsid w:val="0044010D"/>
    <w:rsid w:val="00440AE9"/>
    <w:rsid w:val="00442E2C"/>
    <w:rsid w:val="00443D7A"/>
    <w:rsid w:val="00443F4D"/>
    <w:rsid w:val="00444CFE"/>
    <w:rsid w:val="00444EE6"/>
    <w:rsid w:val="0044794C"/>
    <w:rsid w:val="00447A5D"/>
    <w:rsid w:val="0045012E"/>
    <w:rsid w:val="00450693"/>
    <w:rsid w:val="00450F60"/>
    <w:rsid w:val="0045110F"/>
    <w:rsid w:val="004513CE"/>
    <w:rsid w:val="0045148B"/>
    <w:rsid w:val="00452885"/>
    <w:rsid w:val="00453AFF"/>
    <w:rsid w:val="00454E07"/>
    <w:rsid w:val="00456CFD"/>
    <w:rsid w:val="00457324"/>
    <w:rsid w:val="00457A1E"/>
    <w:rsid w:val="00460B60"/>
    <w:rsid w:val="004653FD"/>
    <w:rsid w:val="00466B3A"/>
    <w:rsid w:val="00466F36"/>
    <w:rsid w:val="00467165"/>
    <w:rsid w:val="004671AD"/>
    <w:rsid w:val="0046724B"/>
    <w:rsid w:val="00467BEB"/>
    <w:rsid w:val="00467D96"/>
    <w:rsid w:val="004704DB"/>
    <w:rsid w:val="00470773"/>
    <w:rsid w:val="00470FE3"/>
    <w:rsid w:val="00474EA4"/>
    <w:rsid w:val="00476129"/>
    <w:rsid w:val="004767BA"/>
    <w:rsid w:val="00477BE8"/>
    <w:rsid w:val="00480440"/>
    <w:rsid w:val="00480448"/>
    <w:rsid w:val="00480E54"/>
    <w:rsid w:val="004816EB"/>
    <w:rsid w:val="00481B02"/>
    <w:rsid w:val="00481C9E"/>
    <w:rsid w:val="00481CE9"/>
    <w:rsid w:val="00482222"/>
    <w:rsid w:val="00484111"/>
    <w:rsid w:val="00484A02"/>
    <w:rsid w:val="00486C81"/>
    <w:rsid w:val="0048798D"/>
    <w:rsid w:val="00487C8B"/>
    <w:rsid w:val="004928EB"/>
    <w:rsid w:val="00493FE8"/>
    <w:rsid w:val="00494DCC"/>
    <w:rsid w:val="00494DD7"/>
    <w:rsid w:val="00495159"/>
    <w:rsid w:val="004954F3"/>
    <w:rsid w:val="00495DF6"/>
    <w:rsid w:val="00497AA2"/>
    <w:rsid w:val="00497CEC"/>
    <w:rsid w:val="004A09F5"/>
    <w:rsid w:val="004A19D1"/>
    <w:rsid w:val="004A2ED0"/>
    <w:rsid w:val="004A4BE8"/>
    <w:rsid w:val="004A53BC"/>
    <w:rsid w:val="004A7706"/>
    <w:rsid w:val="004B0566"/>
    <w:rsid w:val="004B352B"/>
    <w:rsid w:val="004B37BC"/>
    <w:rsid w:val="004B4181"/>
    <w:rsid w:val="004B45AC"/>
    <w:rsid w:val="004B5F4F"/>
    <w:rsid w:val="004B63B9"/>
    <w:rsid w:val="004B780F"/>
    <w:rsid w:val="004C0846"/>
    <w:rsid w:val="004C0D9F"/>
    <w:rsid w:val="004C275B"/>
    <w:rsid w:val="004C2F79"/>
    <w:rsid w:val="004C42DC"/>
    <w:rsid w:val="004C560F"/>
    <w:rsid w:val="004C57B5"/>
    <w:rsid w:val="004C70A6"/>
    <w:rsid w:val="004C7C3B"/>
    <w:rsid w:val="004D04D8"/>
    <w:rsid w:val="004D20F6"/>
    <w:rsid w:val="004D2931"/>
    <w:rsid w:val="004D2A3B"/>
    <w:rsid w:val="004D47AE"/>
    <w:rsid w:val="004D7AB8"/>
    <w:rsid w:val="004E13FF"/>
    <w:rsid w:val="004E168E"/>
    <w:rsid w:val="004E2C74"/>
    <w:rsid w:val="004E4C82"/>
    <w:rsid w:val="004E54BA"/>
    <w:rsid w:val="004E63E5"/>
    <w:rsid w:val="004E6822"/>
    <w:rsid w:val="004F07B3"/>
    <w:rsid w:val="004F10FF"/>
    <w:rsid w:val="004F5137"/>
    <w:rsid w:val="005001B9"/>
    <w:rsid w:val="0050070D"/>
    <w:rsid w:val="005012B8"/>
    <w:rsid w:val="00502B36"/>
    <w:rsid w:val="00503D81"/>
    <w:rsid w:val="00505E31"/>
    <w:rsid w:val="005064E3"/>
    <w:rsid w:val="0050673F"/>
    <w:rsid w:val="00510D72"/>
    <w:rsid w:val="00511A80"/>
    <w:rsid w:val="005125FB"/>
    <w:rsid w:val="00513623"/>
    <w:rsid w:val="00513CD6"/>
    <w:rsid w:val="00515918"/>
    <w:rsid w:val="005166F7"/>
    <w:rsid w:val="005177E9"/>
    <w:rsid w:val="00520514"/>
    <w:rsid w:val="00521A11"/>
    <w:rsid w:val="00522DAE"/>
    <w:rsid w:val="00526336"/>
    <w:rsid w:val="005302AC"/>
    <w:rsid w:val="0053041A"/>
    <w:rsid w:val="005309A4"/>
    <w:rsid w:val="00530A44"/>
    <w:rsid w:val="00531438"/>
    <w:rsid w:val="0053281F"/>
    <w:rsid w:val="00535727"/>
    <w:rsid w:val="005403A5"/>
    <w:rsid w:val="00543297"/>
    <w:rsid w:val="0054371C"/>
    <w:rsid w:val="00547986"/>
    <w:rsid w:val="00552580"/>
    <w:rsid w:val="00552879"/>
    <w:rsid w:val="0055434C"/>
    <w:rsid w:val="0055679B"/>
    <w:rsid w:val="00556D35"/>
    <w:rsid w:val="00561967"/>
    <w:rsid w:val="005647C6"/>
    <w:rsid w:val="0056555D"/>
    <w:rsid w:val="0056560B"/>
    <w:rsid w:val="005669A2"/>
    <w:rsid w:val="0057114A"/>
    <w:rsid w:val="00573339"/>
    <w:rsid w:val="00575199"/>
    <w:rsid w:val="00575303"/>
    <w:rsid w:val="005762BA"/>
    <w:rsid w:val="00580957"/>
    <w:rsid w:val="00580B6D"/>
    <w:rsid w:val="0058100C"/>
    <w:rsid w:val="00581140"/>
    <w:rsid w:val="005825A8"/>
    <w:rsid w:val="0058342A"/>
    <w:rsid w:val="005842C9"/>
    <w:rsid w:val="0058487F"/>
    <w:rsid w:val="00584937"/>
    <w:rsid w:val="00584D54"/>
    <w:rsid w:val="00584FD8"/>
    <w:rsid w:val="005867EF"/>
    <w:rsid w:val="00586EBC"/>
    <w:rsid w:val="0058744F"/>
    <w:rsid w:val="0059088F"/>
    <w:rsid w:val="00591A05"/>
    <w:rsid w:val="00591FB2"/>
    <w:rsid w:val="005930F5"/>
    <w:rsid w:val="0059358C"/>
    <w:rsid w:val="0059532A"/>
    <w:rsid w:val="00595608"/>
    <w:rsid w:val="00595854"/>
    <w:rsid w:val="00595C56"/>
    <w:rsid w:val="00595F79"/>
    <w:rsid w:val="00596940"/>
    <w:rsid w:val="00596CEE"/>
    <w:rsid w:val="00596F6F"/>
    <w:rsid w:val="005A0268"/>
    <w:rsid w:val="005A05F8"/>
    <w:rsid w:val="005A2BDB"/>
    <w:rsid w:val="005A30C6"/>
    <w:rsid w:val="005A3A8C"/>
    <w:rsid w:val="005A4458"/>
    <w:rsid w:val="005A4984"/>
    <w:rsid w:val="005A5BE1"/>
    <w:rsid w:val="005A6A3D"/>
    <w:rsid w:val="005A6D80"/>
    <w:rsid w:val="005A6E84"/>
    <w:rsid w:val="005A7B03"/>
    <w:rsid w:val="005A7EE4"/>
    <w:rsid w:val="005B0860"/>
    <w:rsid w:val="005B099D"/>
    <w:rsid w:val="005B0D5E"/>
    <w:rsid w:val="005B15C3"/>
    <w:rsid w:val="005B1BE8"/>
    <w:rsid w:val="005B392F"/>
    <w:rsid w:val="005B3CE6"/>
    <w:rsid w:val="005B56E8"/>
    <w:rsid w:val="005B5C56"/>
    <w:rsid w:val="005B6D33"/>
    <w:rsid w:val="005C197B"/>
    <w:rsid w:val="005C1B9D"/>
    <w:rsid w:val="005C1F2A"/>
    <w:rsid w:val="005C2FDF"/>
    <w:rsid w:val="005C3BCF"/>
    <w:rsid w:val="005C55D9"/>
    <w:rsid w:val="005C7CD5"/>
    <w:rsid w:val="005D047B"/>
    <w:rsid w:val="005D3000"/>
    <w:rsid w:val="005D3DC3"/>
    <w:rsid w:val="005D40E7"/>
    <w:rsid w:val="005D6D50"/>
    <w:rsid w:val="005D6FC2"/>
    <w:rsid w:val="005D7F5E"/>
    <w:rsid w:val="005E18C3"/>
    <w:rsid w:val="005E31A1"/>
    <w:rsid w:val="005E645F"/>
    <w:rsid w:val="005F1F36"/>
    <w:rsid w:val="005F48FA"/>
    <w:rsid w:val="005F5E9C"/>
    <w:rsid w:val="005F79CF"/>
    <w:rsid w:val="005F7B15"/>
    <w:rsid w:val="0060123B"/>
    <w:rsid w:val="00601B23"/>
    <w:rsid w:val="00602972"/>
    <w:rsid w:val="00602E95"/>
    <w:rsid w:val="00604134"/>
    <w:rsid w:val="0060464C"/>
    <w:rsid w:val="00604B39"/>
    <w:rsid w:val="00607063"/>
    <w:rsid w:val="00610A41"/>
    <w:rsid w:val="00610F43"/>
    <w:rsid w:val="00611E67"/>
    <w:rsid w:val="00613739"/>
    <w:rsid w:val="00613C5F"/>
    <w:rsid w:val="00613ECF"/>
    <w:rsid w:val="0061601E"/>
    <w:rsid w:val="006179B4"/>
    <w:rsid w:val="00617C6D"/>
    <w:rsid w:val="00621243"/>
    <w:rsid w:val="00622775"/>
    <w:rsid w:val="006227AB"/>
    <w:rsid w:val="00622EEE"/>
    <w:rsid w:val="00623666"/>
    <w:rsid w:val="00623751"/>
    <w:rsid w:val="00624EC1"/>
    <w:rsid w:val="00626464"/>
    <w:rsid w:val="00626601"/>
    <w:rsid w:val="006302B3"/>
    <w:rsid w:val="0063135B"/>
    <w:rsid w:val="0063762C"/>
    <w:rsid w:val="006378BE"/>
    <w:rsid w:val="00637EC4"/>
    <w:rsid w:val="00637EE8"/>
    <w:rsid w:val="006410D9"/>
    <w:rsid w:val="00641662"/>
    <w:rsid w:val="00641918"/>
    <w:rsid w:val="00642617"/>
    <w:rsid w:val="006439D1"/>
    <w:rsid w:val="00643C8B"/>
    <w:rsid w:val="0064572A"/>
    <w:rsid w:val="006458AE"/>
    <w:rsid w:val="006459D4"/>
    <w:rsid w:val="00646AEC"/>
    <w:rsid w:val="006473A4"/>
    <w:rsid w:val="00650DF0"/>
    <w:rsid w:val="00651330"/>
    <w:rsid w:val="00653275"/>
    <w:rsid w:val="0065369C"/>
    <w:rsid w:val="0065762D"/>
    <w:rsid w:val="006603FA"/>
    <w:rsid w:val="006604AF"/>
    <w:rsid w:val="0066069C"/>
    <w:rsid w:val="00660762"/>
    <w:rsid w:val="00661243"/>
    <w:rsid w:val="0066229F"/>
    <w:rsid w:val="00663DA7"/>
    <w:rsid w:val="006645B2"/>
    <w:rsid w:val="00665AED"/>
    <w:rsid w:val="00671EC7"/>
    <w:rsid w:val="00672989"/>
    <w:rsid w:val="006729B9"/>
    <w:rsid w:val="00673091"/>
    <w:rsid w:val="006731DC"/>
    <w:rsid w:val="00673377"/>
    <w:rsid w:val="006744E8"/>
    <w:rsid w:val="00675EEF"/>
    <w:rsid w:val="00676431"/>
    <w:rsid w:val="00676E4D"/>
    <w:rsid w:val="00677453"/>
    <w:rsid w:val="00677771"/>
    <w:rsid w:val="006807C1"/>
    <w:rsid w:val="0068151E"/>
    <w:rsid w:val="00683F58"/>
    <w:rsid w:val="00684398"/>
    <w:rsid w:val="006848A0"/>
    <w:rsid w:val="0068497E"/>
    <w:rsid w:val="00685652"/>
    <w:rsid w:val="006861EE"/>
    <w:rsid w:val="00686305"/>
    <w:rsid w:val="006867EC"/>
    <w:rsid w:val="00687363"/>
    <w:rsid w:val="0069092E"/>
    <w:rsid w:val="00690C26"/>
    <w:rsid w:val="00692351"/>
    <w:rsid w:val="0069291D"/>
    <w:rsid w:val="00693EDB"/>
    <w:rsid w:val="00694257"/>
    <w:rsid w:val="00695105"/>
    <w:rsid w:val="00696346"/>
    <w:rsid w:val="0069650D"/>
    <w:rsid w:val="006A0675"/>
    <w:rsid w:val="006A1FFD"/>
    <w:rsid w:val="006A2897"/>
    <w:rsid w:val="006A74B8"/>
    <w:rsid w:val="006A7DA8"/>
    <w:rsid w:val="006B0183"/>
    <w:rsid w:val="006B196A"/>
    <w:rsid w:val="006B272E"/>
    <w:rsid w:val="006B30C9"/>
    <w:rsid w:val="006B35F0"/>
    <w:rsid w:val="006B3E14"/>
    <w:rsid w:val="006B5C6F"/>
    <w:rsid w:val="006C0A6F"/>
    <w:rsid w:val="006C10D1"/>
    <w:rsid w:val="006C2077"/>
    <w:rsid w:val="006C362D"/>
    <w:rsid w:val="006C3AE4"/>
    <w:rsid w:val="006C4736"/>
    <w:rsid w:val="006C48B1"/>
    <w:rsid w:val="006C58D4"/>
    <w:rsid w:val="006C696B"/>
    <w:rsid w:val="006C7294"/>
    <w:rsid w:val="006C74D9"/>
    <w:rsid w:val="006D0F17"/>
    <w:rsid w:val="006D1871"/>
    <w:rsid w:val="006D1B07"/>
    <w:rsid w:val="006D1CC3"/>
    <w:rsid w:val="006D37D6"/>
    <w:rsid w:val="006D44BA"/>
    <w:rsid w:val="006D536A"/>
    <w:rsid w:val="006D5B8E"/>
    <w:rsid w:val="006D6183"/>
    <w:rsid w:val="006D67F1"/>
    <w:rsid w:val="006D6F71"/>
    <w:rsid w:val="006D7D87"/>
    <w:rsid w:val="006E002C"/>
    <w:rsid w:val="006E0497"/>
    <w:rsid w:val="006E0BB6"/>
    <w:rsid w:val="006E0D76"/>
    <w:rsid w:val="006E0F32"/>
    <w:rsid w:val="006E139C"/>
    <w:rsid w:val="006E2661"/>
    <w:rsid w:val="006E2A91"/>
    <w:rsid w:val="006E4227"/>
    <w:rsid w:val="006E4CF2"/>
    <w:rsid w:val="006E4F67"/>
    <w:rsid w:val="006E5E9C"/>
    <w:rsid w:val="006E6AA0"/>
    <w:rsid w:val="006E6E9D"/>
    <w:rsid w:val="006E7AD7"/>
    <w:rsid w:val="006F054A"/>
    <w:rsid w:val="006F05AD"/>
    <w:rsid w:val="006F0635"/>
    <w:rsid w:val="006F0EFB"/>
    <w:rsid w:val="006F1AD2"/>
    <w:rsid w:val="006F434A"/>
    <w:rsid w:val="00701245"/>
    <w:rsid w:val="0070386D"/>
    <w:rsid w:val="0070397E"/>
    <w:rsid w:val="00704D0B"/>
    <w:rsid w:val="00704DCA"/>
    <w:rsid w:val="00705B87"/>
    <w:rsid w:val="0071019B"/>
    <w:rsid w:val="00710A17"/>
    <w:rsid w:val="007135ED"/>
    <w:rsid w:val="00714A4A"/>
    <w:rsid w:val="00716F5A"/>
    <w:rsid w:val="0072066F"/>
    <w:rsid w:val="0072069E"/>
    <w:rsid w:val="00722A91"/>
    <w:rsid w:val="00722C12"/>
    <w:rsid w:val="007260D9"/>
    <w:rsid w:val="00726A50"/>
    <w:rsid w:val="007276C5"/>
    <w:rsid w:val="007328AC"/>
    <w:rsid w:val="007335A6"/>
    <w:rsid w:val="00734D1B"/>
    <w:rsid w:val="0073587C"/>
    <w:rsid w:val="00736579"/>
    <w:rsid w:val="007365D7"/>
    <w:rsid w:val="00740B0D"/>
    <w:rsid w:val="00744DA4"/>
    <w:rsid w:val="00745AEE"/>
    <w:rsid w:val="00746DB0"/>
    <w:rsid w:val="0074708D"/>
    <w:rsid w:val="00747251"/>
    <w:rsid w:val="0074751D"/>
    <w:rsid w:val="007476F0"/>
    <w:rsid w:val="0075085E"/>
    <w:rsid w:val="00750E3F"/>
    <w:rsid w:val="00751269"/>
    <w:rsid w:val="0075206A"/>
    <w:rsid w:val="00752A87"/>
    <w:rsid w:val="0075381C"/>
    <w:rsid w:val="00753AF2"/>
    <w:rsid w:val="007564F1"/>
    <w:rsid w:val="00756544"/>
    <w:rsid w:val="00756C46"/>
    <w:rsid w:val="00760C33"/>
    <w:rsid w:val="00766D64"/>
    <w:rsid w:val="00766DC7"/>
    <w:rsid w:val="00766F67"/>
    <w:rsid w:val="00767124"/>
    <w:rsid w:val="00767259"/>
    <w:rsid w:val="00767F0A"/>
    <w:rsid w:val="007702EA"/>
    <w:rsid w:val="00770B56"/>
    <w:rsid w:val="00775561"/>
    <w:rsid w:val="00775BCA"/>
    <w:rsid w:val="0077700B"/>
    <w:rsid w:val="0077752B"/>
    <w:rsid w:val="0078032A"/>
    <w:rsid w:val="00780EF4"/>
    <w:rsid w:val="00783252"/>
    <w:rsid w:val="0078517E"/>
    <w:rsid w:val="007874E2"/>
    <w:rsid w:val="007877ED"/>
    <w:rsid w:val="007901D6"/>
    <w:rsid w:val="00790DA9"/>
    <w:rsid w:val="00790EB3"/>
    <w:rsid w:val="00791BDC"/>
    <w:rsid w:val="00792A98"/>
    <w:rsid w:val="00792D64"/>
    <w:rsid w:val="00793C73"/>
    <w:rsid w:val="00793E6C"/>
    <w:rsid w:val="00794759"/>
    <w:rsid w:val="00796C6A"/>
    <w:rsid w:val="00796E7D"/>
    <w:rsid w:val="0079765B"/>
    <w:rsid w:val="007A0355"/>
    <w:rsid w:val="007A1782"/>
    <w:rsid w:val="007A1A01"/>
    <w:rsid w:val="007A35E8"/>
    <w:rsid w:val="007A69C0"/>
    <w:rsid w:val="007A7510"/>
    <w:rsid w:val="007A7AD0"/>
    <w:rsid w:val="007B1494"/>
    <w:rsid w:val="007B15B1"/>
    <w:rsid w:val="007B1BB9"/>
    <w:rsid w:val="007B6589"/>
    <w:rsid w:val="007B7060"/>
    <w:rsid w:val="007C0B66"/>
    <w:rsid w:val="007C20D5"/>
    <w:rsid w:val="007C330F"/>
    <w:rsid w:val="007C46F9"/>
    <w:rsid w:val="007C57BB"/>
    <w:rsid w:val="007C7667"/>
    <w:rsid w:val="007D1B08"/>
    <w:rsid w:val="007D2B30"/>
    <w:rsid w:val="007D2C5A"/>
    <w:rsid w:val="007D2F27"/>
    <w:rsid w:val="007D4D76"/>
    <w:rsid w:val="007D5EAB"/>
    <w:rsid w:val="007E1EE5"/>
    <w:rsid w:val="007E21A9"/>
    <w:rsid w:val="007E2880"/>
    <w:rsid w:val="007E3260"/>
    <w:rsid w:val="007E435D"/>
    <w:rsid w:val="007E43BE"/>
    <w:rsid w:val="007E4E62"/>
    <w:rsid w:val="007E57BB"/>
    <w:rsid w:val="007F05DA"/>
    <w:rsid w:val="007F234A"/>
    <w:rsid w:val="007F2E19"/>
    <w:rsid w:val="007F372B"/>
    <w:rsid w:val="007F6916"/>
    <w:rsid w:val="007F726B"/>
    <w:rsid w:val="00803147"/>
    <w:rsid w:val="008033FC"/>
    <w:rsid w:val="00804137"/>
    <w:rsid w:val="00804304"/>
    <w:rsid w:val="00804A6C"/>
    <w:rsid w:val="00804D28"/>
    <w:rsid w:val="0080510D"/>
    <w:rsid w:val="00805609"/>
    <w:rsid w:val="00805EBC"/>
    <w:rsid w:val="00806917"/>
    <w:rsid w:val="008102A2"/>
    <w:rsid w:val="00810FB6"/>
    <w:rsid w:val="008111D7"/>
    <w:rsid w:val="0081155C"/>
    <w:rsid w:val="008127C2"/>
    <w:rsid w:val="00812AF4"/>
    <w:rsid w:val="00813AF8"/>
    <w:rsid w:val="00815B92"/>
    <w:rsid w:val="008162AA"/>
    <w:rsid w:val="008170AC"/>
    <w:rsid w:val="00817846"/>
    <w:rsid w:val="00820220"/>
    <w:rsid w:val="0082187A"/>
    <w:rsid w:val="00823092"/>
    <w:rsid w:val="00824F9B"/>
    <w:rsid w:val="008263B5"/>
    <w:rsid w:val="008302AE"/>
    <w:rsid w:val="00831F45"/>
    <w:rsid w:val="0083299B"/>
    <w:rsid w:val="008338BA"/>
    <w:rsid w:val="00833B52"/>
    <w:rsid w:val="00836B40"/>
    <w:rsid w:val="00843281"/>
    <w:rsid w:val="00843BA2"/>
    <w:rsid w:val="0084603D"/>
    <w:rsid w:val="00846BD8"/>
    <w:rsid w:val="0084778B"/>
    <w:rsid w:val="008478E2"/>
    <w:rsid w:val="00847A35"/>
    <w:rsid w:val="008504E3"/>
    <w:rsid w:val="008510F6"/>
    <w:rsid w:val="00851BF2"/>
    <w:rsid w:val="00855979"/>
    <w:rsid w:val="0085604F"/>
    <w:rsid w:val="008572A5"/>
    <w:rsid w:val="00860993"/>
    <w:rsid w:val="00860FBA"/>
    <w:rsid w:val="008638D3"/>
    <w:rsid w:val="00863A04"/>
    <w:rsid w:val="00864888"/>
    <w:rsid w:val="00866FE7"/>
    <w:rsid w:val="00870114"/>
    <w:rsid w:val="008705C9"/>
    <w:rsid w:val="00872190"/>
    <w:rsid w:val="00872D92"/>
    <w:rsid w:val="008747A7"/>
    <w:rsid w:val="00874823"/>
    <w:rsid w:val="00874B89"/>
    <w:rsid w:val="008770C6"/>
    <w:rsid w:val="008774C5"/>
    <w:rsid w:val="00880345"/>
    <w:rsid w:val="00880EB2"/>
    <w:rsid w:val="00881284"/>
    <w:rsid w:val="00881F37"/>
    <w:rsid w:val="00883811"/>
    <w:rsid w:val="008845BD"/>
    <w:rsid w:val="0088481E"/>
    <w:rsid w:val="0088565E"/>
    <w:rsid w:val="0089032A"/>
    <w:rsid w:val="00891FE1"/>
    <w:rsid w:val="008927A9"/>
    <w:rsid w:val="00896C1E"/>
    <w:rsid w:val="0089756F"/>
    <w:rsid w:val="00897D56"/>
    <w:rsid w:val="008A004A"/>
    <w:rsid w:val="008A0D78"/>
    <w:rsid w:val="008A17B7"/>
    <w:rsid w:val="008A576B"/>
    <w:rsid w:val="008A57EE"/>
    <w:rsid w:val="008A748B"/>
    <w:rsid w:val="008A786D"/>
    <w:rsid w:val="008A7D01"/>
    <w:rsid w:val="008A7F73"/>
    <w:rsid w:val="008B0037"/>
    <w:rsid w:val="008B04BD"/>
    <w:rsid w:val="008B1954"/>
    <w:rsid w:val="008B4D96"/>
    <w:rsid w:val="008B5321"/>
    <w:rsid w:val="008B74DC"/>
    <w:rsid w:val="008B78E7"/>
    <w:rsid w:val="008B7B06"/>
    <w:rsid w:val="008C0860"/>
    <w:rsid w:val="008C16F3"/>
    <w:rsid w:val="008C177E"/>
    <w:rsid w:val="008C2282"/>
    <w:rsid w:val="008C5B2D"/>
    <w:rsid w:val="008D036B"/>
    <w:rsid w:val="008D0A74"/>
    <w:rsid w:val="008D0C8F"/>
    <w:rsid w:val="008D1E31"/>
    <w:rsid w:val="008D3772"/>
    <w:rsid w:val="008D498F"/>
    <w:rsid w:val="008D4E83"/>
    <w:rsid w:val="008D53C0"/>
    <w:rsid w:val="008D693D"/>
    <w:rsid w:val="008D7F9F"/>
    <w:rsid w:val="008E0009"/>
    <w:rsid w:val="008E0312"/>
    <w:rsid w:val="008E068B"/>
    <w:rsid w:val="008E101F"/>
    <w:rsid w:val="008E118C"/>
    <w:rsid w:val="008E373E"/>
    <w:rsid w:val="008E45AC"/>
    <w:rsid w:val="008E504F"/>
    <w:rsid w:val="008E52B8"/>
    <w:rsid w:val="008E6990"/>
    <w:rsid w:val="008E71AC"/>
    <w:rsid w:val="008E7281"/>
    <w:rsid w:val="008E77C2"/>
    <w:rsid w:val="008F01C0"/>
    <w:rsid w:val="008F3713"/>
    <w:rsid w:val="008F4348"/>
    <w:rsid w:val="008F4C4C"/>
    <w:rsid w:val="00901A12"/>
    <w:rsid w:val="00903904"/>
    <w:rsid w:val="009041AB"/>
    <w:rsid w:val="0090471E"/>
    <w:rsid w:val="00904C41"/>
    <w:rsid w:val="00905AE1"/>
    <w:rsid w:val="009103A6"/>
    <w:rsid w:val="00912628"/>
    <w:rsid w:val="00917742"/>
    <w:rsid w:val="00924176"/>
    <w:rsid w:val="00926893"/>
    <w:rsid w:val="00930678"/>
    <w:rsid w:val="00931F94"/>
    <w:rsid w:val="009321A0"/>
    <w:rsid w:val="00932C37"/>
    <w:rsid w:val="00932D73"/>
    <w:rsid w:val="00934BE7"/>
    <w:rsid w:val="00937FC2"/>
    <w:rsid w:val="00945508"/>
    <w:rsid w:val="00945AEA"/>
    <w:rsid w:val="00946430"/>
    <w:rsid w:val="00946440"/>
    <w:rsid w:val="009464D9"/>
    <w:rsid w:val="009466A6"/>
    <w:rsid w:val="0094689B"/>
    <w:rsid w:val="00947110"/>
    <w:rsid w:val="009471DB"/>
    <w:rsid w:val="009474B0"/>
    <w:rsid w:val="009478A1"/>
    <w:rsid w:val="00950AEF"/>
    <w:rsid w:val="00952624"/>
    <w:rsid w:val="00953595"/>
    <w:rsid w:val="009536A3"/>
    <w:rsid w:val="009565F8"/>
    <w:rsid w:val="00956F21"/>
    <w:rsid w:val="0095732C"/>
    <w:rsid w:val="009576AE"/>
    <w:rsid w:val="0096019F"/>
    <w:rsid w:val="00960B83"/>
    <w:rsid w:val="00960D5A"/>
    <w:rsid w:val="00962B9B"/>
    <w:rsid w:val="009634E6"/>
    <w:rsid w:val="009640A5"/>
    <w:rsid w:val="009655BA"/>
    <w:rsid w:val="009664D3"/>
    <w:rsid w:val="00967165"/>
    <w:rsid w:val="009674B0"/>
    <w:rsid w:val="00967DA7"/>
    <w:rsid w:val="009708D3"/>
    <w:rsid w:val="009731B2"/>
    <w:rsid w:val="0097560E"/>
    <w:rsid w:val="009768A1"/>
    <w:rsid w:val="00981D81"/>
    <w:rsid w:val="00983150"/>
    <w:rsid w:val="00983174"/>
    <w:rsid w:val="009843DA"/>
    <w:rsid w:val="009854AA"/>
    <w:rsid w:val="00985CD9"/>
    <w:rsid w:val="0098656F"/>
    <w:rsid w:val="00987E18"/>
    <w:rsid w:val="00990B2E"/>
    <w:rsid w:val="0099272E"/>
    <w:rsid w:val="00992967"/>
    <w:rsid w:val="00995455"/>
    <w:rsid w:val="00996418"/>
    <w:rsid w:val="0099734D"/>
    <w:rsid w:val="009A06A7"/>
    <w:rsid w:val="009A12E3"/>
    <w:rsid w:val="009A14BC"/>
    <w:rsid w:val="009A1D64"/>
    <w:rsid w:val="009A20F2"/>
    <w:rsid w:val="009A2177"/>
    <w:rsid w:val="009A37F5"/>
    <w:rsid w:val="009A4A7A"/>
    <w:rsid w:val="009A4C92"/>
    <w:rsid w:val="009A4EC6"/>
    <w:rsid w:val="009A5808"/>
    <w:rsid w:val="009A59F0"/>
    <w:rsid w:val="009A5BF8"/>
    <w:rsid w:val="009A6DE5"/>
    <w:rsid w:val="009B18A2"/>
    <w:rsid w:val="009B1DB6"/>
    <w:rsid w:val="009B20DC"/>
    <w:rsid w:val="009B67E2"/>
    <w:rsid w:val="009B7298"/>
    <w:rsid w:val="009B771B"/>
    <w:rsid w:val="009C036B"/>
    <w:rsid w:val="009C27C8"/>
    <w:rsid w:val="009C2DD4"/>
    <w:rsid w:val="009C54E0"/>
    <w:rsid w:val="009D1CC2"/>
    <w:rsid w:val="009D483E"/>
    <w:rsid w:val="009D501F"/>
    <w:rsid w:val="009D6AB2"/>
    <w:rsid w:val="009D770C"/>
    <w:rsid w:val="009E118F"/>
    <w:rsid w:val="009E12C9"/>
    <w:rsid w:val="009E15D1"/>
    <w:rsid w:val="009E2706"/>
    <w:rsid w:val="009E7674"/>
    <w:rsid w:val="009F0261"/>
    <w:rsid w:val="009F2C54"/>
    <w:rsid w:val="009F30C2"/>
    <w:rsid w:val="009F38EF"/>
    <w:rsid w:val="009F4D40"/>
    <w:rsid w:val="009F65D0"/>
    <w:rsid w:val="009F7718"/>
    <w:rsid w:val="009F7739"/>
    <w:rsid w:val="00A01E32"/>
    <w:rsid w:val="00A0236C"/>
    <w:rsid w:val="00A02B6B"/>
    <w:rsid w:val="00A044A1"/>
    <w:rsid w:val="00A051FB"/>
    <w:rsid w:val="00A056C6"/>
    <w:rsid w:val="00A05B95"/>
    <w:rsid w:val="00A05C15"/>
    <w:rsid w:val="00A10802"/>
    <w:rsid w:val="00A10F94"/>
    <w:rsid w:val="00A1108F"/>
    <w:rsid w:val="00A115C1"/>
    <w:rsid w:val="00A11769"/>
    <w:rsid w:val="00A13A90"/>
    <w:rsid w:val="00A140CB"/>
    <w:rsid w:val="00A143A3"/>
    <w:rsid w:val="00A146B3"/>
    <w:rsid w:val="00A15E99"/>
    <w:rsid w:val="00A16DA1"/>
    <w:rsid w:val="00A174A5"/>
    <w:rsid w:val="00A175AB"/>
    <w:rsid w:val="00A17E49"/>
    <w:rsid w:val="00A215E6"/>
    <w:rsid w:val="00A21727"/>
    <w:rsid w:val="00A21845"/>
    <w:rsid w:val="00A22781"/>
    <w:rsid w:val="00A23EC3"/>
    <w:rsid w:val="00A2418B"/>
    <w:rsid w:val="00A24DC1"/>
    <w:rsid w:val="00A25A7F"/>
    <w:rsid w:val="00A25BB2"/>
    <w:rsid w:val="00A26923"/>
    <w:rsid w:val="00A27C18"/>
    <w:rsid w:val="00A30126"/>
    <w:rsid w:val="00A31C94"/>
    <w:rsid w:val="00A328EC"/>
    <w:rsid w:val="00A33FD0"/>
    <w:rsid w:val="00A34F0A"/>
    <w:rsid w:val="00A36C76"/>
    <w:rsid w:val="00A36CC8"/>
    <w:rsid w:val="00A376CB"/>
    <w:rsid w:val="00A403D3"/>
    <w:rsid w:val="00A405CB"/>
    <w:rsid w:val="00A42DF6"/>
    <w:rsid w:val="00A43981"/>
    <w:rsid w:val="00A44492"/>
    <w:rsid w:val="00A45781"/>
    <w:rsid w:val="00A45C3F"/>
    <w:rsid w:val="00A45D6E"/>
    <w:rsid w:val="00A4769B"/>
    <w:rsid w:val="00A5013D"/>
    <w:rsid w:val="00A52699"/>
    <w:rsid w:val="00A52FB3"/>
    <w:rsid w:val="00A539A2"/>
    <w:rsid w:val="00A53BBB"/>
    <w:rsid w:val="00A54CE6"/>
    <w:rsid w:val="00A5557F"/>
    <w:rsid w:val="00A55A81"/>
    <w:rsid w:val="00A561C9"/>
    <w:rsid w:val="00A56470"/>
    <w:rsid w:val="00A567A1"/>
    <w:rsid w:val="00A572E2"/>
    <w:rsid w:val="00A60FBB"/>
    <w:rsid w:val="00A61058"/>
    <w:rsid w:val="00A62D41"/>
    <w:rsid w:val="00A63512"/>
    <w:rsid w:val="00A64B69"/>
    <w:rsid w:val="00A72CE0"/>
    <w:rsid w:val="00A73929"/>
    <w:rsid w:val="00A74C44"/>
    <w:rsid w:val="00A770AF"/>
    <w:rsid w:val="00A8038B"/>
    <w:rsid w:val="00A8045C"/>
    <w:rsid w:val="00A812F1"/>
    <w:rsid w:val="00A81BA8"/>
    <w:rsid w:val="00A82E94"/>
    <w:rsid w:val="00A835E7"/>
    <w:rsid w:val="00A867ED"/>
    <w:rsid w:val="00A86E06"/>
    <w:rsid w:val="00A9041C"/>
    <w:rsid w:val="00A92258"/>
    <w:rsid w:val="00A925EA"/>
    <w:rsid w:val="00A943E9"/>
    <w:rsid w:val="00A947BA"/>
    <w:rsid w:val="00A95312"/>
    <w:rsid w:val="00A9589E"/>
    <w:rsid w:val="00A9601A"/>
    <w:rsid w:val="00A96ABD"/>
    <w:rsid w:val="00A97F8C"/>
    <w:rsid w:val="00AA12C7"/>
    <w:rsid w:val="00AA13AC"/>
    <w:rsid w:val="00AA21C4"/>
    <w:rsid w:val="00AA2546"/>
    <w:rsid w:val="00AA30CD"/>
    <w:rsid w:val="00AA4970"/>
    <w:rsid w:val="00AA4C23"/>
    <w:rsid w:val="00AA51A9"/>
    <w:rsid w:val="00AA5A4E"/>
    <w:rsid w:val="00AA6973"/>
    <w:rsid w:val="00AB167D"/>
    <w:rsid w:val="00AB4639"/>
    <w:rsid w:val="00AB4E13"/>
    <w:rsid w:val="00AC0DA3"/>
    <w:rsid w:val="00AC13E3"/>
    <w:rsid w:val="00AC1CA9"/>
    <w:rsid w:val="00AC1E9B"/>
    <w:rsid w:val="00AC2592"/>
    <w:rsid w:val="00AC326A"/>
    <w:rsid w:val="00AC33CE"/>
    <w:rsid w:val="00AC4102"/>
    <w:rsid w:val="00AC4B98"/>
    <w:rsid w:val="00AC5BF1"/>
    <w:rsid w:val="00AC6BB7"/>
    <w:rsid w:val="00AC75E7"/>
    <w:rsid w:val="00AD0228"/>
    <w:rsid w:val="00AD1698"/>
    <w:rsid w:val="00AD438C"/>
    <w:rsid w:val="00AE0461"/>
    <w:rsid w:val="00AE05F1"/>
    <w:rsid w:val="00AE1F09"/>
    <w:rsid w:val="00AE473F"/>
    <w:rsid w:val="00AE5132"/>
    <w:rsid w:val="00AE5A37"/>
    <w:rsid w:val="00AE5C9D"/>
    <w:rsid w:val="00AE6FE4"/>
    <w:rsid w:val="00AE70C8"/>
    <w:rsid w:val="00AF1125"/>
    <w:rsid w:val="00AF2066"/>
    <w:rsid w:val="00AF2DEA"/>
    <w:rsid w:val="00AF3C84"/>
    <w:rsid w:val="00AF6716"/>
    <w:rsid w:val="00B0313E"/>
    <w:rsid w:val="00B037AD"/>
    <w:rsid w:val="00B03842"/>
    <w:rsid w:val="00B03D67"/>
    <w:rsid w:val="00B03DA0"/>
    <w:rsid w:val="00B05D44"/>
    <w:rsid w:val="00B06102"/>
    <w:rsid w:val="00B06C7C"/>
    <w:rsid w:val="00B071C9"/>
    <w:rsid w:val="00B07503"/>
    <w:rsid w:val="00B078EF"/>
    <w:rsid w:val="00B109F1"/>
    <w:rsid w:val="00B119AC"/>
    <w:rsid w:val="00B129A5"/>
    <w:rsid w:val="00B12B3E"/>
    <w:rsid w:val="00B13857"/>
    <w:rsid w:val="00B16E84"/>
    <w:rsid w:val="00B2077A"/>
    <w:rsid w:val="00B20909"/>
    <w:rsid w:val="00B20FA3"/>
    <w:rsid w:val="00B21F7D"/>
    <w:rsid w:val="00B22054"/>
    <w:rsid w:val="00B2276C"/>
    <w:rsid w:val="00B2309F"/>
    <w:rsid w:val="00B25884"/>
    <w:rsid w:val="00B259EA"/>
    <w:rsid w:val="00B27E96"/>
    <w:rsid w:val="00B27F50"/>
    <w:rsid w:val="00B30EE7"/>
    <w:rsid w:val="00B32128"/>
    <w:rsid w:val="00B338A0"/>
    <w:rsid w:val="00B33B42"/>
    <w:rsid w:val="00B33B79"/>
    <w:rsid w:val="00B34A8E"/>
    <w:rsid w:val="00B36480"/>
    <w:rsid w:val="00B41CD5"/>
    <w:rsid w:val="00B42A89"/>
    <w:rsid w:val="00B44825"/>
    <w:rsid w:val="00B4502C"/>
    <w:rsid w:val="00B45C4B"/>
    <w:rsid w:val="00B45F23"/>
    <w:rsid w:val="00B46625"/>
    <w:rsid w:val="00B469F0"/>
    <w:rsid w:val="00B46AAA"/>
    <w:rsid w:val="00B46D04"/>
    <w:rsid w:val="00B46D3B"/>
    <w:rsid w:val="00B473DB"/>
    <w:rsid w:val="00B50973"/>
    <w:rsid w:val="00B5115B"/>
    <w:rsid w:val="00B515B4"/>
    <w:rsid w:val="00B52475"/>
    <w:rsid w:val="00B534A7"/>
    <w:rsid w:val="00B537A9"/>
    <w:rsid w:val="00B5512C"/>
    <w:rsid w:val="00B572B4"/>
    <w:rsid w:val="00B57AAA"/>
    <w:rsid w:val="00B57BE1"/>
    <w:rsid w:val="00B6058F"/>
    <w:rsid w:val="00B62017"/>
    <w:rsid w:val="00B629B5"/>
    <w:rsid w:val="00B63B9E"/>
    <w:rsid w:val="00B63DFB"/>
    <w:rsid w:val="00B65ADD"/>
    <w:rsid w:val="00B66487"/>
    <w:rsid w:val="00B67665"/>
    <w:rsid w:val="00B71048"/>
    <w:rsid w:val="00B732D5"/>
    <w:rsid w:val="00B733BA"/>
    <w:rsid w:val="00B75E2D"/>
    <w:rsid w:val="00B76E82"/>
    <w:rsid w:val="00B7786F"/>
    <w:rsid w:val="00B802EF"/>
    <w:rsid w:val="00B80C5F"/>
    <w:rsid w:val="00B816CA"/>
    <w:rsid w:val="00B8356B"/>
    <w:rsid w:val="00B840E0"/>
    <w:rsid w:val="00B84239"/>
    <w:rsid w:val="00B84F06"/>
    <w:rsid w:val="00B85268"/>
    <w:rsid w:val="00B85838"/>
    <w:rsid w:val="00B860BC"/>
    <w:rsid w:val="00B906E7"/>
    <w:rsid w:val="00B90F91"/>
    <w:rsid w:val="00B93C3C"/>
    <w:rsid w:val="00B951AB"/>
    <w:rsid w:val="00B955F3"/>
    <w:rsid w:val="00B96174"/>
    <w:rsid w:val="00BA13D3"/>
    <w:rsid w:val="00BA291D"/>
    <w:rsid w:val="00BA2C1A"/>
    <w:rsid w:val="00BA49C9"/>
    <w:rsid w:val="00BA5B52"/>
    <w:rsid w:val="00BA63A8"/>
    <w:rsid w:val="00BA75B6"/>
    <w:rsid w:val="00BB13CE"/>
    <w:rsid w:val="00BB1B19"/>
    <w:rsid w:val="00BB1D80"/>
    <w:rsid w:val="00BB22E7"/>
    <w:rsid w:val="00BB292E"/>
    <w:rsid w:val="00BB2955"/>
    <w:rsid w:val="00BB2D9B"/>
    <w:rsid w:val="00BB3371"/>
    <w:rsid w:val="00BB5A37"/>
    <w:rsid w:val="00BC0273"/>
    <w:rsid w:val="00BC1261"/>
    <w:rsid w:val="00BC3211"/>
    <w:rsid w:val="00BC4FE6"/>
    <w:rsid w:val="00BC61E4"/>
    <w:rsid w:val="00BC629C"/>
    <w:rsid w:val="00BC68BF"/>
    <w:rsid w:val="00BC728E"/>
    <w:rsid w:val="00BC7D6E"/>
    <w:rsid w:val="00BC7DFB"/>
    <w:rsid w:val="00BD2253"/>
    <w:rsid w:val="00BD228A"/>
    <w:rsid w:val="00BD2E65"/>
    <w:rsid w:val="00BD2F4E"/>
    <w:rsid w:val="00BD52EC"/>
    <w:rsid w:val="00BD61A8"/>
    <w:rsid w:val="00BD671B"/>
    <w:rsid w:val="00BD730E"/>
    <w:rsid w:val="00BD771F"/>
    <w:rsid w:val="00BE0829"/>
    <w:rsid w:val="00BE0EB0"/>
    <w:rsid w:val="00BE3322"/>
    <w:rsid w:val="00BE345B"/>
    <w:rsid w:val="00BE3654"/>
    <w:rsid w:val="00BE36B2"/>
    <w:rsid w:val="00BE5626"/>
    <w:rsid w:val="00BE5940"/>
    <w:rsid w:val="00BE7887"/>
    <w:rsid w:val="00BF0AD1"/>
    <w:rsid w:val="00BF134D"/>
    <w:rsid w:val="00BF23FD"/>
    <w:rsid w:val="00BF46CB"/>
    <w:rsid w:val="00BF691C"/>
    <w:rsid w:val="00BF7079"/>
    <w:rsid w:val="00BF7F27"/>
    <w:rsid w:val="00C00E7F"/>
    <w:rsid w:val="00C01CFA"/>
    <w:rsid w:val="00C02C4D"/>
    <w:rsid w:val="00C0472B"/>
    <w:rsid w:val="00C078EB"/>
    <w:rsid w:val="00C1031E"/>
    <w:rsid w:val="00C10FB5"/>
    <w:rsid w:val="00C11838"/>
    <w:rsid w:val="00C17099"/>
    <w:rsid w:val="00C2092D"/>
    <w:rsid w:val="00C20B6C"/>
    <w:rsid w:val="00C21A19"/>
    <w:rsid w:val="00C21AF9"/>
    <w:rsid w:val="00C22584"/>
    <w:rsid w:val="00C22F97"/>
    <w:rsid w:val="00C23B43"/>
    <w:rsid w:val="00C242FE"/>
    <w:rsid w:val="00C24961"/>
    <w:rsid w:val="00C27437"/>
    <w:rsid w:val="00C307E4"/>
    <w:rsid w:val="00C319F7"/>
    <w:rsid w:val="00C328A0"/>
    <w:rsid w:val="00C334B3"/>
    <w:rsid w:val="00C335D6"/>
    <w:rsid w:val="00C33DE7"/>
    <w:rsid w:val="00C34A0F"/>
    <w:rsid w:val="00C35E3E"/>
    <w:rsid w:val="00C3657C"/>
    <w:rsid w:val="00C3661D"/>
    <w:rsid w:val="00C37464"/>
    <w:rsid w:val="00C40654"/>
    <w:rsid w:val="00C409E2"/>
    <w:rsid w:val="00C41F6B"/>
    <w:rsid w:val="00C420C8"/>
    <w:rsid w:val="00C42598"/>
    <w:rsid w:val="00C44A86"/>
    <w:rsid w:val="00C47386"/>
    <w:rsid w:val="00C474AE"/>
    <w:rsid w:val="00C50E5E"/>
    <w:rsid w:val="00C51A06"/>
    <w:rsid w:val="00C54375"/>
    <w:rsid w:val="00C57F5B"/>
    <w:rsid w:val="00C63BC4"/>
    <w:rsid w:val="00C64D2F"/>
    <w:rsid w:val="00C71CB3"/>
    <w:rsid w:val="00C72F1A"/>
    <w:rsid w:val="00C73458"/>
    <w:rsid w:val="00C73B55"/>
    <w:rsid w:val="00C748D1"/>
    <w:rsid w:val="00C74A2D"/>
    <w:rsid w:val="00C756FE"/>
    <w:rsid w:val="00C76592"/>
    <w:rsid w:val="00C76638"/>
    <w:rsid w:val="00C76A55"/>
    <w:rsid w:val="00C8662A"/>
    <w:rsid w:val="00C87848"/>
    <w:rsid w:val="00C879CD"/>
    <w:rsid w:val="00C90BF1"/>
    <w:rsid w:val="00C9115E"/>
    <w:rsid w:val="00C93B56"/>
    <w:rsid w:val="00C93FEE"/>
    <w:rsid w:val="00C943B0"/>
    <w:rsid w:val="00C96896"/>
    <w:rsid w:val="00C96F36"/>
    <w:rsid w:val="00CA2544"/>
    <w:rsid w:val="00CA2D90"/>
    <w:rsid w:val="00CA3298"/>
    <w:rsid w:val="00CA406E"/>
    <w:rsid w:val="00CA419A"/>
    <w:rsid w:val="00CA62E0"/>
    <w:rsid w:val="00CA6787"/>
    <w:rsid w:val="00CA7836"/>
    <w:rsid w:val="00CB0506"/>
    <w:rsid w:val="00CB17A3"/>
    <w:rsid w:val="00CB25CB"/>
    <w:rsid w:val="00CB68A2"/>
    <w:rsid w:val="00CB76E1"/>
    <w:rsid w:val="00CC0CA5"/>
    <w:rsid w:val="00CC1790"/>
    <w:rsid w:val="00CC2038"/>
    <w:rsid w:val="00CC34D9"/>
    <w:rsid w:val="00CC399A"/>
    <w:rsid w:val="00CC3B37"/>
    <w:rsid w:val="00CC3CDC"/>
    <w:rsid w:val="00CC4BB1"/>
    <w:rsid w:val="00CC55EE"/>
    <w:rsid w:val="00CC634D"/>
    <w:rsid w:val="00CC735D"/>
    <w:rsid w:val="00CC7D76"/>
    <w:rsid w:val="00CD0689"/>
    <w:rsid w:val="00CD1DA1"/>
    <w:rsid w:val="00CD2601"/>
    <w:rsid w:val="00CD266F"/>
    <w:rsid w:val="00CD2F20"/>
    <w:rsid w:val="00CD43A5"/>
    <w:rsid w:val="00CD5895"/>
    <w:rsid w:val="00CD77EC"/>
    <w:rsid w:val="00CD79B7"/>
    <w:rsid w:val="00CE092D"/>
    <w:rsid w:val="00CE11AB"/>
    <w:rsid w:val="00CE1A3D"/>
    <w:rsid w:val="00CE59CB"/>
    <w:rsid w:val="00CE5BF4"/>
    <w:rsid w:val="00CE5CCE"/>
    <w:rsid w:val="00CE66D1"/>
    <w:rsid w:val="00CE68D5"/>
    <w:rsid w:val="00CE731F"/>
    <w:rsid w:val="00CE7E02"/>
    <w:rsid w:val="00CF0707"/>
    <w:rsid w:val="00CF27C7"/>
    <w:rsid w:val="00CF36F1"/>
    <w:rsid w:val="00CF3D5A"/>
    <w:rsid w:val="00CF4F93"/>
    <w:rsid w:val="00CF5DD5"/>
    <w:rsid w:val="00CF62F3"/>
    <w:rsid w:val="00CF63B4"/>
    <w:rsid w:val="00CF7D7A"/>
    <w:rsid w:val="00D02D51"/>
    <w:rsid w:val="00D032EA"/>
    <w:rsid w:val="00D04308"/>
    <w:rsid w:val="00D0550D"/>
    <w:rsid w:val="00D05760"/>
    <w:rsid w:val="00D06012"/>
    <w:rsid w:val="00D06807"/>
    <w:rsid w:val="00D07B9A"/>
    <w:rsid w:val="00D07E78"/>
    <w:rsid w:val="00D10B55"/>
    <w:rsid w:val="00D11BB0"/>
    <w:rsid w:val="00D11BBF"/>
    <w:rsid w:val="00D11CEF"/>
    <w:rsid w:val="00D12897"/>
    <w:rsid w:val="00D135FB"/>
    <w:rsid w:val="00D136DF"/>
    <w:rsid w:val="00D13895"/>
    <w:rsid w:val="00D13DEC"/>
    <w:rsid w:val="00D1455F"/>
    <w:rsid w:val="00D14A3B"/>
    <w:rsid w:val="00D14ADA"/>
    <w:rsid w:val="00D15FBB"/>
    <w:rsid w:val="00D16777"/>
    <w:rsid w:val="00D17804"/>
    <w:rsid w:val="00D178A5"/>
    <w:rsid w:val="00D17DA6"/>
    <w:rsid w:val="00D22C6F"/>
    <w:rsid w:val="00D22DAD"/>
    <w:rsid w:val="00D25E6E"/>
    <w:rsid w:val="00D25E75"/>
    <w:rsid w:val="00D31B1A"/>
    <w:rsid w:val="00D3239D"/>
    <w:rsid w:val="00D33B1B"/>
    <w:rsid w:val="00D3440B"/>
    <w:rsid w:val="00D34E11"/>
    <w:rsid w:val="00D3764F"/>
    <w:rsid w:val="00D404F0"/>
    <w:rsid w:val="00D41029"/>
    <w:rsid w:val="00D4391E"/>
    <w:rsid w:val="00D44AD2"/>
    <w:rsid w:val="00D45C67"/>
    <w:rsid w:val="00D477D5"/>
    <w:rsid w:val="00D50FBE"/>
    <w:rsid w:val="00D51C86"/>
    <w:rsid w:val="00D52657"/>
    <w:rsid w:val="00D52D94"/>
    <w:rsid w:val="00D52E7C"/>
    <w:rsid w:val="00D52F63"/>
    <w:rsid w:val="00D54170"/>
    <w:rsid w:val="00D54D84"/>
    <w:rsid w:val="00D54E5E"/>
    <w:rsid w:val="00D5513E"/>
    <w:rsid w:val="00D557EB"/>
    <w:rsid w:val="00D5612A"/>
    <w:rsid w:val="00D5649D"/>
    <w:rsid w:val="00D6130C"/>
    <w:rsid w:val="00D6162B"/>
    <w:rsid w:val="00D62275"/>
    <w:rsid w:val="00D625FB"/>
    <w:rsid w:val="00D626D6"/>
    <w:rsid w:val="00D65137"/>
    <w:rsid w:val="00D664A9"/>
    <w:rsid w:val="00D67443"/>
    <w:rsid w:val="00D723CC"/>
    <w:rsid w:val="00D72B54"/>
    <w:rsid w:val="00D733BA"/>
    <w:rsid w:val="00D7608C"/>
    <w:rsid w:val="00D766AF"/>
    <w:rsid w:val="00D8026C"/>
    <w:rsid w:val="00D80DAC"/>
    <w:rsid w:val="00D81B8B"/>
    <w:rsid w:val="00D83153"/>
    <w:rsid w:val="00D83D3A"/>
    <w:rsid w:val="00D84B0A"/>
    <w:rsid w:val="00D85014"/>
    <w:rsid w:val="00D90D86"/>
    <w:rsid w:val="00D9264A"/>
    <w:rsid w:val="00D9286E"/>
    <w:rsid w:val="00D93F5B"/>
    <w:rsid w:val="00D96292"/>
    <w:rsid w:val="00D9669F"/>
    <w:rsid w:val="00D968D3"/>
    <w:rsid w:val="00D97A74"/>
    <w:rsid w:val="00DA1A47"/>
    <w:rsid w:val="00DA44AB"/>
    <w:rsid w:val="00DA44AD"/>
    <w:rsid w:val="00DA4CEE"/>
    <w:rsid w:val="00DA7255"/>
    <w:rsid w:val="00DA79F3"/>
    <w:rsid w:val="00DA7CD0"/>
    <w:rsid w:val="00DB08A2"/>
    <w:rsid w:val="00DB1E0E"/>
    <w:rsid w:val="00DB2BCF"/>
    <w:rsid w:val="00DB34AC"/>
    <w:rsid w:val="00DC0F37"/>
    <w:rsid w:val="00DC1531"/>
    <w:rsid w:val="00DC252A"/>
    <w:rsid w:val="00DC46E0"/>
    <w:rsid w:val="00DC4753"/>
    <w:rsid w:val="00DC4A01"/>
    <w:rsid w:val="00DC67E1"/>
    <w:rsid w:val="00DD22D0"/>
    <w:rsid w:val="00DD231A"/>
    <w:rsid w:val="00DD3ADE"/>
    <w:rsid w:val="00DE0018"/>
    <w:rsid w:val="00DE116C"/>
    <w:rsid w:val="00DE29E5"/>
    <w:rsid w:val="00DE2DCE"/>
    <w:rsid w:val="00DE379B"/>
    <w:rsid w:val="00DE3E00"/>
    <w:rsid w:val="00DE540A"/>
    <w:rsid w:val="00DE6A2C"/>
    <w:rsid w:val="00DF0946"/>
    <w:rsid w:val="00DF1C4C"/>
    <w:rsid w:val="00DF2322"/>
    <w:rsid w:val="00DF2522"/>
    <w:rsid w:val="00DF3384"/>
    <w:rsid w:val="00DF3507"/>
    <w:rsid w:val="00DF3BBE"/>
    <w:rsid w:val="00DF461D"/>
    <w:rsid w:val="00DF5503"/>
    <w:rsid w:val="00DF7DBE"/>
    <w:rsid w:val="00DF7DC8"/>
    <w:rsid w:val="00DF7F80"/>
    <w:rsid w:val="00E01378"/>
    <w:rsid w:val="00E01B62"/>
    <w:rsid w:val="00E020F5"/>
    <w:rsid w:val="00E02533"/>
    <w:rsid w:val="00E02C35"/>
    <w:rsid w:val="00E033C0"/>
    <w:rsid w:val="00E0492A"/>
    <w:rsid w:val="00E049BE"/>
    <w:rsid w:val="00E057D1"/>
    <w:rsid w:val="00E05B45"/>
    <w:rsid w:val="00E05D9E"/>
    <w:rsid w:val="00E05E02"/>
    <w:rsid w:val="00E06339"/>
    <w:rsid w:val="00E06D49"/>
    <w:rsid w:val="00E06DEF"/>
    <w:rsid w:val="00E1159B"/>
    <w:rsid w:val="00E11AFF"/>
    <w:rsid w:val="00E11D92"/>
    <w:rsid w:val="00E12830"/>
    <w:rsid w:val="00E1558F"/>
    <w:rsid w:val="00E16E5E"/>
    <w:rsid w:val="00E16F63"/>
    <w:rsid w:val="00E17CD7"/>
    <w:rsid w:val="00E20D59"/>
    <w:rsid w:val="00E21CD6"/>
    <w:rsid w:val="00E23568"/>
    <w:rsid w:val="00E248C8"/>
    <w:rsid w:val="00E2544B"/>
    <w:rsid w:val="00E26901"/>
    <w:rsid w:val="00E3054B"/>
    <w:rsid w:val="00E313CD"/>
    <w:rsid w:val="00E3142C"/>
    <w:rsid w:val="00E31A25"/>
    <w:rsid w:val="00E33509"/>
    <w:rsid w:val="00E33753"/>
    <w:rsid w:val="00E33755"/>
    <w:rsid w:val="00E3570C"/>
    <w:rsid w:val="00E35F62"/>
    <w:rsid w:val="00E36878"/>
    <w:rsid w:val="00E36966"/>
    <w:rsid w:val="00E36BBA"/>
    <w:rsid w:val="00E3795D"/>
    <w:rsid w:val="00E41BD3"/>
    <w:rsid w:val="00E436E6"/>
    <w:rsid w:val="00E46045"/>
    <w:rsid w:val="00E46DE8"/>
    <w:rsid w:val="00E53B05"/>
    <w:rsid w:val="00E53D09"/>
    <w:rsid w:val="00E5518F"/>
    <w:rsid w:val="00E55737"/>
    <w:rsid w:val="00E55FD9"/>
    <w:rsid w:val="00E56847"/>
    <w:rsid w:val="00E56CFB"/>
    <w:rsid w:val="00E60383"/>
    <w:rsid w:val="00E61469"/>
    <w:rsid w:val="00E61AA0"/>
    <w:rsid w:val="00E64C1E"/>
    <w:rsid w:val="00E654BD"/>
    <w:rsid w:val="00E67CA8"/>
    <w:rsid w:val="00E70A6C"/>
    <w:rsid w:val="00E71140"/>
    <w:rsid w:val="00E74ECC"/>
    <w:rsid w:val="00E76FAE"/>
    <w:rsid w:val="00E8395B"/>
    <w:rsid w:val="00E87DD4"/>
    <w:rsid w:val="00E93818"/>
    <w:rsid w:val="00E95A6C"/>
    <w:rsid w:val="00E96EA2"/>
    <w:rsid w:val="00EA06F5"/>
    <w:rsid w:val="00EA08FC"/>
    <w:rsid w:val="00EA0E95"/>
    <w:rsid w:val="00EA1A76"/>
    <w:rsid w:val="00EA6CA9"/>
    <w:rsid w:val="00EA6D83"/>
    <w:rsid w:val="00EB04DF"/>
    <w:rsid w:val="00EB0858"/>
    <w:rsid w:val="00EB294E"/>
    <w:rsid w:val="00EB341E"/>
    <w:rsid w:val="00EB3528"/>
    <w:rsid w:val="00EB5BA4"/>
    <w:rsid w:val="00EB6CA4"/>
    <w:rsid w:val="00EB6CB7"/>
    <w:rsid w:val="00EB7133"/>
    <w:rsid w:val="00EC0BE8"/>
    <w:rsid w:val="00EC147C"/>
    <w:rsid w:val="00EC18BF"/>
    <w:rsid w:val="00EC2995"/>
    <w:rsid w:val="00EC3F63"/>
    <w:rsid w:val="00EC6B59"/>
    <w:rsid w:val="00EC78BC"/>
    <w:rsid w:val="00ED1484"/>
    <w:rsid w:val="00ED161D"/>
    <w:rsid w:val="00ED1E5F"/>
    <w:rsid w:val="00ED3852"/>
    <w:rsid w:val="00ED3BE1"/>
    <w:rsid w:val="00ED4928"/>
    <w:rsid w:val="00ED4996"/>
    <w:rsid w:val="00ED4A78"/>
    <w:rsid w:val="00ED4E55"/>
    <w:rsid w:val="00ED50C8"/>
    <w:rsid w:val="00ED6451"/>
    <w:rsid w:val="00ED6B0B"/>
    <w:rsid w:val="00ED762E"/>
    <w:rsid w:val="00EE08B0"/>
    <w:rsid w:val="00EE18E2"/>
    <w:rsid w:val="00EE190E"/>
    <w:rsid w:val="00EE1EA8"/>
    <w:rsid w:val="00EE3041"/>
    <w:rsid w:val="00EE33CB"/>
    <w:rsid w:val="00EE3929"/>
    <w:rsid w:val="00EE60A4"/>
    <w:rsid w:val="00EE70FE"/>
    <w:rsid w:val="00EE759B"/>
    <w:rsid w:val="00EE761A"/>
    <w:rsid w:val="00EF1559"/>
    <w:rsid w:val="00EF22D7"/>
    <w:rsid w:val="00EF2E4D"/>
    <w:rsid w:val="00EF30A0"/>
    <w:rsid w:val="00EF54CA"/>
    <w:rsid w:val="00EF6B9E"/>
    <w:rsid w:val="00F00694"/>
    <w:rsid w:val="00F00DD8"/>
    <w:rsid w:val="00F026F5"/>
    <w:rsid w:val="00F0393F"/>
    <w:rsid w:val="00F03C96"/>
    <w:rsid w:val="00F04448"/>
    <w:rsid w:val="00F046A8"/>
    <w:rsid w:val="00F05360"/>
    <w:rsid w:val="00F057DE"/>
    <w:rsid w:val="00F1211A"/>
    <w:rsid w:val="00F12B8E"/>
    <w:rsid w:val="00F20029"/>
    <w:rsid w:val="00F20C2B"/>
    <w:rsid w:val="00F212FA"/>
    <w:rsid w:val="00F21762"/>
    <w:rsid w:val="00F22D2D"/>
    <w:rsid w:val="00F23E81"/>
    <w:rsid w:val="00F2451B"/>
    <w:rsid w:val="00F24F19"/>
    <w:rsid w:val="00F27795"/>
    <w:rsid w:val="00F27C7D"/>
    <w:rsid w:val="00F3003A"/>
    <w:rsid w:val="00F326BD"/>
    <w:rsid w:val="00F3279F"/>
    <w:rsid w:val="00F3340C"/>
    <w:rsid w:val="00F34A3E"/>
    <w:rsid w:val="00F37A69"/>
    <w:rsid w:val="00F40ECE"/>
    <w:rsid w:val="00F41C7E"/>
    <w:rsid w:val="00F42AFB"/>
    <w:rsid w:val="00F42C88"/>
    <w:rsid w:val="00F42E20"/>
    <w:rsid w:val="00F472D3"/>
    <w:rsid w:val="00F4751B"/>
    <w:rsid w:val="00F50742"/>
    <w:rsid w:val="00F51388"/>
    <w:rsid w:val="00F548C8"/>
    <w:rsid w:val="00F55E9B"/>
    <w:rsid w:val="00F56CC3"/>
    <w:rsid w:val="00F56D35"/>
    <w:rsid w:val="00F57C76"/>
    <w:rsid w:val="00F61D5F"/>
    <w:rsid w:val="00F61FAF"/>
    <w:rsid w:val="00F62CC9"/>
    <w:rsid w:val="00F62DD5"/>
    <w:rsid w:val="00F63F58"/>
    <w:rsid w:val="00F649F5"/>
    <w:rsid w:val="00F665ED"/>
    <w:rsid w:val="00F702AC"/>
    <w:rsid w:val="00F70C3D"/>
    <w:rsid w:val="00F71353"/>
    <w:rsid w:val="00F7136D"/>
    <w:rsid w:val="00F718A9"/>
    <w:rsid w:val="00F7242B"/>
    <w:rsid w:val="00F7533C"/>
    <w:rsid w:val="00F75A75"/>
    <w:rsid w:val="00F767E6"/>
    <w:rsid w:val="00F77A74"/>
    <w:rsid w:val="00F77D69"/>
    <w:rsid w:val="00F82AB9"/>
    <w:rsid w:val="00F83570"/>
    <w:rsid w:val="00F84336"/>
    <w:rsid w:val="00F843E3"/>
    <w:rsid w:val="00F84A6F"/>
    <w:rsid w:val="00F907E3"/>
    <w:rsid w:val="00F92A96"/>
    <w:rsid w:val="00F932AB"/>
    <w:rsid w:val="00F9373C"/>
    <w:rsid w:val="00F94161"/>
    <w:rsid w:val="00F942CE"/>
    <w:rsid w:val="00F95155"/>
    <w:rsid w:val="00F97567"/>
    <w:rsid w:val="00F97B62"/>
    <w:rsid w:val="00FA352C"/>
    <w:rsid w:val="00FA46C4"/>
    <w:rsid w:val="00FA51DF"/>
    <w:rsid w:val="00FA6A23"/>
    <w:rsid w:val="00FB0966"/>
    <w:rsid w:val="00FB19E1"/>
    <w:rsid w:val="00FB24BF"/>
    <w:rsid w:val="00FB25DD"/>
    <w:rsid w:val="00FB2CCD"/>
    <w:rsid w:val="00FB333C"/>
    <w:rsid w:val="00FB4118"/>
    <w:rsid w:val="00FB6111"/>
    <w:rsid w:val="00FB737B"/>
    <w:rsid w:val="00FB7CD7"/>
    <w:rsid w:val="00FC1937"/>
    <w:rsid w:val="00FC37CD"/>
    <w:rsid w:val="00FC591B"/>
    <w:rsid w:val="00FC7A62"/>
    <w:rsid w:val="00FC7BF0"/>
    <w:rsid w:val="00FC7C61"/>
    <w:rsid w:val="00FC7DF6"/>
    <w:rsid w:val="00FD0473"/>
    <w:rsid w:val="00FD0E32"/>
    <w:rsid w:val="00FD1205"/>
    <w:rsid w:val="00FE057F"/>
    <w:rsid w:val="00FE10AA"/>
    <w:rsid w:val="00FE134A"/>
    <w:rsid w:val="00FE23E9"/>
    <w:rsid w:val="00FE2FA3"/>
    <w:rsid w:val="00FE407F"/>
    <w:rsid w:val="00FE4300"/>
    <w:rsid w:val="00FE4F12"/>
    <w:rsid w:val="00FE7069"/>
    <w:rsid w:val="00FF00D6"/>
    <w:rsid w:val="00FF267C"/>
    <w:rsid w:val="00FF2F1D"/>
    <w:rsid w:val="00FF3F83"/>
    <w:rsid w:val="00FF40C3"/>
    <w:rsid w:val="00FF5552"/>
    <w:rsid w:val="00FF5CB6"/>
    <w:rsid w:val="00FF6A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AF9"/>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E02C35"/>
    <w:pPr>
      <w:keepNext/>
      <w:spacing w:before="240" w:after="60"/>
      <w:outlineLvl w:val="1"/>
    </w:pPr>
    <w:rPr>
      <w:rFonts w:ascii="Helvetica" w:eastAsia="Arial" w:hAnsi="Helvetica"/>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1AD"/>
    <w:pPr>
      <w:keepNext/>
      <w:spacing w:before="240" w:after="60"/>
      <w:outlineLvl w:val="2"/>
    </w:pPr>
    <w:rPr>
      <w:rFonts w:ascii="Arial" w:eastAsia="Arial" w:hAnsi="Arial"/>
      <w:bCs/>
      <w:sz w:val="21"/>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E02C35"/>
    <w:rPr>
      <w:rFonts w:ascii="Helvetica" w:eastAsia="Arial" w:hAnsi="Helvetica"/>
      <w:b/>
      <w:bCs/>
      <w:iCs/>
      <w:sz w:val="24"/>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671AD"/>
    <w:rPr>
      <w:rFonts w:ascii="Arial" w:eastAsia="Arial" w:hAnsi="Arial"/>
      <w:bCs/>
      <w:sz w:val="21"/>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8127C2"/>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5302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8745816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249598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280294-2DBE-4C58-B276-7338E68CF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2017-05-05T02:52:00Z</dcterms:created>
  <dcterms:modified xsi:type="dcterms:W3CDTF">2017-06-19T07:20:00Z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6E70F41A4D06A74D6DEE5D8F620B7B5584D773D003DEBB88A1B389CCF065E054</vt:lpwstr>
  </property>
  <property fmtid="{D5CDD505-2E9C-101B-9397-08002B2CF9AE}" pid="3" name="_NewReviewCycle">
    <vt:lpwstr/>
  </property>
  <property fmtid="{D5CDD505-2E9C-101B-9397-08002B2CF9AE}" pid="6" name="NSCPROP_SA">
    <vt:lpwstr>E:\1 Works\1 RAN4\83\Contributions\R4-170xxxx Discussion on mobility measurement accuracy.docx</vt:lpwstr>
  </property>
</Properties>
</file>